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649" w:rsidRPr="00355E83" w:rsidRDefault="00CD34C8">
      <w:pPr>
        <w:pStyle w:val="1"/>
        <w:spacing w:before="69"/>
        <w:ind w:left="6240"/>
      </w:pPr>
      <w:r>
        <w:t>Ф</w:t>
      </w:r>
      <w:r w:rsidRPr="00355E83">
        <w:rPr>
          <w:spacing w:val="-6"/>
        </w:rPr>
        <w:t xml:space="preserve"> </w:t>
      </w:r>
      <w:r>
        <w:t>НАО</w:t>
      </w:r>
      <w:r w:rsidRPr="00355E83">
        <w:rPr>
          <w:spacing w:val="-4"/>
        </w:rPr>
        <w:t xml:space="preserve"> </w:t>
      </w:r>
      <w:r>
        <w:t>КМУ</w:t>
      </w:r>
      <w:r w:rsidRPr="00355E83">
        <w:rPr>
          <w:spacing w:val="-4"/>
        </w:rPr>
        <w:t xml:space="preserve"> </w:t>
      </w:r>
      <w:r w:rsidRPr="00355E83">
        <w:t>7-2-</w:t>
      </w:r>
      <w:r w:rsidRPr="00355E83">
        <w:rPr>
          <w:spacing w:val="-4"/>
        </w:rPr>
        <w:t>03/1</w:t>
      </w:r>
    </w:p>
    <w:p w:rsidR="00B31359" w:rsidRPr="00355E83" w:rsidRDefault="00B31359" w:rsidP="00B31359">
      <w:pPr>
        <w:pStyle w:val="a3"/>
        <w:ind w:left="0"/>
        <w:jc w:val="center"/>
      </w:pPr>
    </w:p>
    <w:p w:rsidR="00355E83" w:rsidRPr="00355E83" w:rsidRDefault="00355E83" w:rsidP="00355E83">
      <w:pPr>
        <w:widowControl/>
        <w:autoSpaceDE/>
        <w:autoSpaceDN/>
        <w:spacing w:line="259" w:lineRule="auto"/>
        <w:jc w:val="center"/>
        <w:rPr>
          <w:color w:val="000000"/>
          <w:sz w:val="28"/>
          <w:szCs w:val="28"/>
        </w:rPr>
      </w:pPr>
      <w:r w:rsidRPr="00355E83">
        <w:rPr>
          <w:color w:val="000000"/>
          <w:sz w:val="28"/>
          <w:szCs w:val="28"/>
        </w:rPr>
        <w:t>НЕКОММЕРЧЕСКОЕ АКЦИОНЕРНОЕ ОБЩЕСТВО</w:t>
      </w:r>
    </w:p>
    <w:p w:rsidR="00355E83" w:rsidRPr="00355E83" w:rsidRDefault="00355E83" w:rsidP="00355E83">
      <w:pPr>
        <w:widowControl/>
        <w:autoSpaceDE/>
        <w:autoSpaceDN/>
        <w:jc w:val="center"/>
        <w:rPr>
          <w:rFonts w:ascii="Calibri" w:eastAsia="Calibri" w:hAnsi="Calibri"/>
          <w:sz w:val="28"/>
          <w:szCs w:val="28"/>
        </w:rPr>
      </w:pPr>
      <w:r w:rsidRPr="00355E83">
        <w:rPr>
          <w:color w:val="000000"/>
          <w:sz w:val="28"/>
          <w:szCs w:val="28"/>
        </w:rPr>
        <w:t>«КАРАГАНДИНСКИЙ МЕДИЦИНСКИЙ УНИВЕРСИТЕТ»</w:t>
      </w:r>
    </w:p>
    <w:p w:rsidR="00E20649" w:rsidRPr="007708BE" w:rsidRDefault="00E20649">
      <w:pPr>
        <w:pStyle w:val="a3"/>
        <w:ind w:left="0"/>
        <w:jc w:val="left"/>
      </w:pPr>
    </w:p>
    <w:p w:rsidR="00E20649" w:rsidRPr="007708BE" w:rsidRDefault="00E20649">
      <w:pPr>
        <w:pStyle w:val="a3"/>
        <w:ind w:left="0"/>
        <w:jc w:val="left"/>
      </w:pPr>
    </w:p>
    <w:p w:rsidR="00E20649" w:rsidRPr="007708BE" w:rsidRDefault="00E20649">
      <w:pPr>
        <w:pStyle w:val="a3"/>
        <w:ind w:left="0"/>
        <w:jc w:val="left"/>
      </w:pPr>
    </w:p>
    <w:p w:rsidR="00E20649" w:rsidRPr="007708BE" w:rsidRDefault="00E20649">
      <w:pPr>
        <w:pStyle w:val="a3"/>
        <w:ind w:left="0"/>
        <w:jc w:val="left"/>
      </w:pPr>
    </w:p>
    <w:p w:rsidR="00E20649" w:rsidRPr="007708BE" w:rsidRDefault="00E20649">
      <w:pPr>
        <w:pStyle w:val="a3"/>
        <w:spacing w:before="4"/>
        <w:ind w:left="0"/>
        <w:jc w:val="left"/>
      </w:pPr>
    </w:p>
    <w:p w:rsidR="00E20649" w:rsidRDefault="00CD34C8">
      <w:pPr>
        <w:pStyle w:val="1"/>
        <w:ind w:left="3" w:right="138"/>
        <w:jc w:val="center"/>
      </w:pPr>
      <w:r>
        <w:rPr>
          <w:spacing w:val="-2"/>
        </w:rPr>
        <w:t>АННОТАЦИЯ</w:t>
      </w:r>
    </w:p>
    <w:p w:rsidR="00E20649" w:rsidRDefault="00CD34C8">
      <w:pPr>
        <w:pStyle w:val="a3"/>
        <w:spacing w:before="317"/>
        <w:ind w:left="1" w:right="138"/>
        <w:jc w:val="center"/>
      </w:pPr>
      <w:r>
        <w:t>диссертационной</w:t>
      </w:r>
      <w:r>
        <w:rPr>
          <w:spacing w:val="-6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соискание</w:t>
      </w:r>
      <w:r>
        <w:rPr>
          <w:spacing w:val="-9"/>
        </w:rPr>
        <w:t xml:space="preserve"> </w:t>
      </w:r>
      <w:r>
        <w:t>степени</w:t>
      </w:r>
      <w:r>
        <w:rPr>
          <w:spacing w:val="-8"/>
        </w:rPr>
        <w:t xml:space="preserve"> </w:t>
      </w:r>
      <w:r>
        <w:t>доктора</w:t>
      </w:r>
      <w:r>
        <w:rPr>
          <w:spacing w:val="-7"/>
        </w:rPr>
        <w:t xml:space="preserve"> </w:t>
      </w:r>
      <w:r>
        <w:rPr>
          <w:spacing w:val="-2"/>
        </w:rPr>
        <w:t>философии</w:t>
      </w:r>
    </w:p>
    <w:p w:rsidR="00E20649" w:rsidRDefault="00E20649">
      <w:pPr>
        <w:pStyle w:val="a3"/>
        <w:spacing w:before="6"/>
        <w:ind w:left="0"/>
        <w:jc w:val="left"/>
      </w:pPr>
    </w:p>
    <w:p w:rsidR="00497127" w:rsidRPr="00497127" w:rsidRDefault="00497127" w:rsidP="00497127">
      <w:pPr>
        <w:widowControl/>
        <w:autoSpaceDE/>
        <w:autoSpaceDN/>
        <w:jc w:val="center"/>
        <w:rPr>
          <w:rFonts w:eastAsia="Calibri"/>
          <w:b/>
          <w:sz w:val="28"/>
          <w:szCs w:val="28"/>
        </w:rPr>
      </w:pPr>
      <w:r w:rsidRPr="00497127">
        <w:rPr>
          <w:rFonts w:eastAsia="Calibri"/>
          <w:b/>
          <w:sz w:val="28"/>
          <w:szCs w:val="28"/>
        </w:rPr>
        <w:t>«Клинико-лабораторные предикторы тяжелого течения COVID-19 у коморбидных пациентов с фармакоэкономической оценкой терапии и оптимизация динамического наблюдения»</w:t>
      </w:r>
    </w:p>
    <w:p w:rsidR="00497127" w:rsidRPr="00497127" w:rsidRDefault="00497127" w:rsidP="00497127">
      <w:pPr>
        <w:widowControl/>
        <w:autoSpaceDE/>
        <w:autoSpaceDN/>
        <w:jc w:val="center"/>
        <w:rPr>
          <w:rFonts w:eastAsia="Calibri"/>
          <w:sz w:val="28"/>
          <w:szCs w:val="28"/>
        </w:rPr>
      </w:pPr>
    </w:p>
    <w:p w:rsidR="00497127" w:rsidRPr="00497127" w:rsidRDefault="00497127" w:rsidP="00497127">
      <w:pPr>
        <w:widowControl/>
        <w:autoSpaceDE/>
        <w:autoSpaceDN/>
        <w:jc w:val="center"/>
        <w:rPr>
          <w:rFonts w:eastAsia="Calibri"/>
          <w:sz w:val="28"/>
          <w:szCs w:val="28"/>
        </w:rPr>
      </w:pPr>
      <w:r w:rsidRPr="00497127">
        <w:rPr>
          <w:rFonts w:eastAsia="Calibri"/>
          <w:sz w:val="28"/>
          <w:szCs w:val="28"/>
        </w:rPr>
        <w:t xml:space="preserve"> Образовательная программа: 8D10100 «Медицина»</w:t>
      </w:r>
    </w:p>
    <w:p w:rsidR="00E20649" w:rsidRDefault="00E20649">
      <w:pPr>
        <w:pStyle w:val="a3"/>
        <w:ind w:left="0"/>
        <w:jc w:val="left"/>
      </w:pPr>
    </w:p>
    <w:p w:rsidR="00E20649" w:rsidRDefault="00E20649">
      <w:pPr>
        <w:pStyle w:val="a3"/>
        <w:ind w:left="0"/>
        <w:jc w:val="left"/>
      </w:pPr>
    </w:p>
    <w:p w:rsidR="00E20649" w:rsidRDefault="00E20649">
      <w:pPr>
        <w:pStyle w:val="a3"/>
        <w:ind w:left="0"/>
        <w:jc w:val="left"/>
      </w:pPr>
    </w:p>
    <w:p w:rsidR="00E20649" w:rsidRDefault="00E20649">
      <w:pPr>
        <w:pStyle w:val="a3"/>
        <w:ind w:left="0"/>
        <w:jc w:val="left"/>
      </w:pPr>
    </w:p>
    <w:p w:rsidR="00E20649" w:rsidRDefault="00E20649">
      <w:pPr>
        <w:pStyle w:val="a3"/>
        <w:ind w:left="0"/>
        <w:jc w:val="left"/>
      </w:pPr>
    </w:p>
    <w:p w:rsidR="00E20649" w:rsidRDefault="00E20649">
      <w:pPr>
        <w:pStyle w:val="a3"/>
        <w:ind w:left="0"/>
        <w:jc w:val="left"/>
      </w:pPr>
    </w:p>
    <w:p w:rsidR="00497127" w:rsidRDefault="00497127" w:rsidP="00257A9A">
      <w:pPr>
        <w:widowControl/>
        <w:autoSpaceDE/>
        <w:autoSpaceDN/>
        <w:ind w:left="4820"/>
        <w:jc w:val="both"/>
        <w:rPr>
          <w:rFonts w:eastAsia="Calibri"/>
          <w:sz w:val="28"/>
          <w:szCs w:val="28"/>
        </w:rPr>
      </w:pPr>
      <w:r w:rsidRPr="00497127">
        <w:rPr>
          <w:rFonts w:eastAsia="Calibri"/>
          <w:sz w:val="28"/>
          <w:szCs w:val="28"/>
        </w:rPr>
        <w:t>Научные консультанты:</w:t>
      </w:r>
    </w:p>
    <w:p w:rsidR="00257A9A" w:rsidRPr="00497127" w:rsidRDefault="00257A9A" w:rsidP="00257A9A">
      <w:pPr>
        <w:widowControl/>
        <w:autoSpaceDE/>
        <w:autoSpaceDN/>
        <w:ind w:left="4820"/>
        <w:jc w:val="both"/>
        <w:rPr>
          <w:rFonts w:eastAsia="Calibri"/>
          <w:sz w:val="28"/>
          <w:szCs w:val="28"/>
        </w:rPr>
      </w:pPr>
    </w:p>
    <w:p w:rsidR="00497127" w:rsidRPr="00497127" w:rsidRDefault="00257A9A" w:rsidP="00257A9A">
      <w:pPr>
        <w:widowControl/>
        <w:autoSpaceDE/>
        <w:autoSpaceDN/>
        <w:ind w:left="4820"/>
        <w:jc w:val="both"/>
        <w:rPr>
          <w:rFonts w:eastAsia="Calibri"/>
          <w:sz w:val="28"/>
          <w:szCs w:val="28"/>
        </w:rPr>
      </w:pPr>
      <w:r w:rsidRPr="00497127">
        <w:rPr>
          <w:rFonts w:eastAsia="Calibri"/>
          <w:sz w:val="28"/>
          <w:szCs w:val="28"/>
        </w:rPr>
        <w:t>Д</w:t>
      </w:r>
      <w:r>
        <w:rPr>
          <w:rFonts w:eastAsia="Calibri"/>
          <w:sz w:val="28"/>
          <w:szCs w:val="28"/>
        </w:rPr>
        <w:t>октор медицинских наук</w:t>
      </w:r>
      <w:r w:rsidR="00497127" w:rsidRPr="00497127">
        <w:rPr>
          <w:rFonts w:eastAsia="Calibri"/>
          <w:sz w:val="28"/>
          <w:szCs w:val="28"/>
        </w:rPr>
        <w:t xml:space="preserve">, профессор </w:t>
      </w:r>
      <w:r>
        <w:rPr>
          <w:rFonts w:eastAsia="Calibri"/>
          <w:sz w:val="28"/>
          <w:szCs w:val="28"/>
        </w:rPr>
        <w:t xml:space="preserve">                                                    </w:t>
      </w:r>
      <w:r w:rsidR="00497127" w:rsidRPr="00497127">
        <w:rPr>
          <w:rFonts w:eastAsia="Calibri"/>
          <w:sz w:val="28"/>
          <w:szCs w:val="28"/>
        </w:rPr>
        <w:t>Кошерова Бахыт Нургалиевна</w:t>
      </w:r>
    </w:p>
    <w:p w:rsidR="00497127" w:rsidRPr="00497127" w:rsidRDefault="00497127" w:rsidP="00257A9A">
      <w:pPr>
        <w:widowControl/>
        <w:autoSpaceDE/>
        <w:autoSpaceDN/>
        <w:ind w:left="4820"/>
        <w:jc w:val="both"/>
        <w:rPr>
          <w:rFonts w:eastAsia="Calibri"/>
          <w:sz w:val="28"/>
          <w:szCs w:val="28"/>
        </w:rPr>
      </w:pPr>
      <w:r w:rsidRPr="00497127">
        <w:rPr>
          <w:rFonts w:eastAsia="Calibri"/>
          <w:sz w:val="28"/>
          <w:szCs w:val="28"/>
        </w:rPr>
        <w:t xml:space="preserve">PhD, ассоциированный профессор Жунусов Ержан Сейполович </w:t>
      </w:r>
    </w:p>
    <w:p w:rsidR="00497127" w:rsidRPr="00497127" w:rsidRDefault="00257A9A" w:rsidP="00257A9A">
      <w:pPr>
        <w:widowControl/>
        <w:autoSpaceDE/>
        <w:autoSpaceDN/>
        <w:ind w:left="4820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Доктор медицинских наук</w:t>
      </w:r>
      <w:r w:rsidR="00497127" w:rsidRPr="00497127">
        <w:rPr>
          <w:rFonts w:eastAsia="Calibri"/>
          <w:sz w:val="28"/>
          <w:szCs w:val="28"/>
        </w:rPr>
        <w:t>,</w:t>
      </w:r>
      <w:r>
        <w:rPr>
          <w:rFonts w:eastAsia="Calibri"/>
          <w:sz w:val="28"/>
          <w:szCs w:val="28"/>
        </w:rPr>
        <w:t xml:space="preserve"> </w:t>
      </w:r>
      <w:r w:rsidR="00497127" w:rsidRPr="00497127">
        <w:rPr>
          <w:rFonts w:eastAsia="Calibri"/>
          <w:sz w:val="28"/>
          <w:szCs w:val="28"/>
        </w:rPr>
        <w:t>ассоциированный профессор                             Плэчинтэ Георгий Петрович</w:t>
      </w:r>
    </w:p>
    <w:p w:rsidR="00E20649" w:rsidRDefault="00E20649" w:rsidP="00257A9A">
      <w:pPr>
        <w:pStyle w:val="a3"/>
        <w:ind w:left="4820"/>
        <w:jc w:val="left"/>
      </w:pPr>
    </w:p>
    <w:p w:rsidR="00E20649" w:rsidRDefault="00E20649">
      <w:pPr>
        <w:pStyle w:val="a3"/>
        <w:ind w:left="0"/>
        <w:jc w:val="left"/>
      </w:pPr>
    </w:p>
    <w:p w:rsidR="00E20649" w:rsidRDefault="00E20649">
      <w:pPr>
        <w:pStyle w:val="a3"/>
        <w:ind w:left="0"/>
        <w:jc w:val="left"/>
      </w:pPr>
    </w:p>
    <w:p w:rsidR="00E20649" w:rsidRDefault="00E20649">
      <w:pPr>
        <w:pStyle w:val="a3"/>
        <w:ind w:left="0"/>
        <w:jc w:val="left"/>
      </w:pPr>
    </w:p>
    <w:p w:rsidR="00E20649" w:rsidRDefault="00E20649">
      <w:pPr>
        <w:pStyle w:val="a3"/>
        <w:ind w:left="0"/>
        <w:jc w:val="left"/>
      </w:pPr>
    </w:p>
    <w:p w:rsidR="00E20649" w:rsidRDefault="00E20649">
      <w:pPr>
        <w:pStyle w:val="a3"/>
        <w:ind w:left="0"/>
        <w:jc w:val="left"/>
      </w:pPr>
    </w:p>
    <w:p w:rsidR="00E20649" w:rsidRDefault="00E20649">
      <w:pPr>
        <w:pStyle w:val="a3"/>
        <w:spacing w:before="1"/>
        <w:ind w:left="0"/>
        <w:jc w:val="left"/>
      </w:pPr>
    </w:p>
    <w:p w:rsidR="001763C1" w:rsidRDefault="001763C1">
      <w:pPr>
        <w:pStyle w:val="a3"/>
        <w:ind w:left="0" w:right="134"/>
        <w:jc w:val="center"/>
      </w:pPr>
    </w:p>
    <w:p w:rsidR="001763C1" w:rsidRDefault="001763C1">
      <w:pPr>
        <w:pStyle w:val="a3"/>
        <w:ind w:left="0" w:right="134"/>
        <w:jc w:val="center"/>
      </w:pPr>
    </w:p>
    <w:p w:rsidR="001763C1" w:rsidRDefault="001763C1">
      <w:pPr>
        <w:pStyle w:val="a3"/>
        <w:ind w:left="0" w:right="134"/>
        <w:jc w:val="center"/>
      </w:pPr>
    </w:p>
    <w:p w:rsidR="00E20649" w:rsidRDefault="00CD34C8">
      <w:pPr>
        <w:pStyle w:val="a3"/>
        <w:ind w:left="0" w:right="134"/>
        <w:jc w:val="center"/>
      </w:pPr>
      <w:r>
        <w:t>Караганда,</w:t>
      </w:r>
      <w:r>
        <w:rPr>
          <w:spacing w:val="-6"/>
        </w:rPr>
        <w:t xml:space="preserve"> </w:t>
      </w:r>
      <w:r>
        <w:t>202</w:t>
      </w:r>
      <w:r w:rsidR="00497127">
        <w:t>6</w:t>
      </w:r>
      <w:r>
        <w:rPr>
          <w:spacing w:val="-4"/>
        </w:rPr>
        <w:t xml:space="preserve"> </w:t>
      </w:r>
      <w:r>
        <w:rPr>
          <w:spacing w:val="-5"/>
        </w:rPr>
        <w:t>год</w:t>
      </w:r>
    </w:p>
    <w:p w:rsidR="00E20649" w:rsidRDefault="00E20649">
      <w:pPr>
        <w:pStyle w:val="a3"/>
        <w:jc w:val="center"/>
        <w:sectPr w:rsidR="00E20649" w:rsidSect="001763C1">
          <w:type w:val="continuous"/>
          <w:pgSz w:w="11900" w:h="16850"/>
          <w:pgMar w:top="1134" w:right="708" w:bottom="1134" w:left="1700" w:header="720" w:footer="720" w:gutter="0"/>
          <w:cols w:space="720"/>
        </w:sectPr>
      </w:pPr>
    </w:p>
    <w:p w:rsidR="00E20649" w:rsidRDefault="00CD34C8" w:rsidP="001763C1">
      <w:pPr>
        <w:pStyle w:val="1"/>
        <w:rPr>
          <w:spacing w:val="-2"/>
        </w:rPr>
      </w:pPr>
      <w:r>
        <w:lastRenderedPageBreak/>
        <w:t>Актуальность</w:t>
      </w:r>
      <w:r>
        <w:rPr>
          <w:spacing w:val="-10"/>
        </w:rPr>
        <w:t xml:space="preserve"> </w:t>
      </w:r>
      <w:r>
        <w:rPr>
          <w:spacing w:val="-2"/>
        </w:rPr>
        <w:t>исследования.</w:t>
      </w:r>
    </w:p>
    <w:p w:rsidR="00257A9A" w:rsidRDefault="00257A9A" w:rsidP="001763C1">
      <w:pPr>
        <w:pStyle w:val="1"/>
      </w:pPr>
    </w:p>
    <w:p w:rsidR="00497127" w:rsidRPr="00497127" w:rsidRDefault="00497127" w:rsidP="001763C1">
      <w:pPr>
        <w:widowControl/>
        <w:autoSpaceDE/>
        <w:autoSpaceDN/>
        <w:ind w:firstLine="567"/>
        <w:jc w:val="both"/>
        <w:rPr>
          <w:rFonts w:eastAsia="Calibri"/>
          <w:sz w:val="28"/>
          <w:szCs w:val="28"/>
        </w:rPr>
      </w:pPr>
      <w:bookmarkStart w:id="0" w:name="_Hlk222659481"/>
      <w:r w:rsidRPr="00497127">
        <w:rPr>
          <w:rFonts w:eastAsia="Calibri"/>
          <w:sz w:val="28"/>
          <w:szCs w:val="28"/>
        </w:rPr>
        <w:t xml:space="preserve">Коронавирусная инфекция COVID-19, вызываемая вирусом SARS-CoV-2, несмотря на официальное завершение пандемии, сохраняет высокую медико-социальную и клиническую значимость в 2024-2025 годах. Это обусловлено продолжающейся циркуляцией вируса </w:t>
      </w:r>
      <w:r w:rsidR="00057393" w:rsidRPr="00057393">
        <w:rPr>
          <w:rFonts w:eastAsia="Calibri"/>
          <w:sz w:val="28"/>
          <w:szCs w:val="28"/>
        </w:rPr>
        <w:t>SARS-CoV-2, его способностью генерировать новые варианты с повышенной трансмиссивностью, увеличением частоты повторных случаев инфицирования и развитием долгосрочных осложнений</w:t>
      </w:r>
      <w:r w:rsidRPr="00497127">
        <w:rPr>
          <w:rFonts w:eastAsia="Calibri"/>
          <w:sz w:val="28"/>
          <w:szCs w:val="28"/>
        </w:rPr>
        <w:t xml:space="preserve">, оказывающих длительное негативное влияние на состояние здоровья пациентов [1 - 4]. </w:t>
      </w:r>
    </w:p>
    <w:p w:rsidR="00497127" w:rsidRPr="00497127" w:rsidRDefault="00DA6AC7" w:rsidP="001763C1">
      <w:pPr>
        <w:widowControl/>
        <w:autoSpaceDE/>
        <w:autoSpaceDN/>
        <w:ind w:firstLine="567"/>
        <w:jc w:val="both"/>
        <w:rPr>
          <w:rFonts w:eastAsia="Calibri"/>
          <w:sz w:val="28"/>
          <w:szCs w:val="28"/>
        </w:rPr>
      </w:pPr>
      <w:r w:rsidRPr="00DA6AC7">
        <w:rPr>
          <w:rFonts w:eastAsia="Calibri"/>
          <w:sz w:val="28"/>
          <w:szCs w:val="28"/>
        </w:rPr>
        <w:t>Пандемия COVID-19 оказала существенное влияние на глобальное здравоохранение и демографические показатели. По данным Всемирной организации здравоохранения, по состоянию на ноябрь 2025 года суммарное число подтверждённых случаев смерти, ассоциированных с COVID-19 с начала пандемии, превышает 7 миллионов человек во всём мире [5]. Высокая летальность и масштабная нагрузка на систему здравоохранения обусловили необходимость пересмотра клинических и организационных подходов к ведению пациентов, особенно с коморбидной патологией</w:t>
      </w:r>
      <w:r>
        <w:rPr>
          <w:rFonts w:eastAsia="Calibri"/>
          <w:sz w:val="28"/>
          <w:szCs w:val="28"/>
        </w:rPr>
        <w:t xml:space="preserve"> </w:t>
      </w:r>
      <w:r w:rsidR="00497127" w:rsidRPr="00497127">
        <w:rPr>
          <w:rFonts w:eastAsia="Calibri"/>
          <w:sz w:val="28"/>
          <w:szCs w:val="28"/>
        </w:rPr>
        <w:t>[5].</w:t>
      </w:r>
    </w:p>
    <w:p w:rsidR="00497127" w:rsidRPr="00497127" w:rsidRDefault="00497127" w:rsidP="001763C1">
      <w:pPr>
        <w:widowControl/>
        <w:autoSpaceDE/>
        <w:autoSpaceDN/>
        <w:ind w:firstLine="567"/>
        <w:jc w:val="both"/>
        <w:rPr>
          <w:rFonts w:eastAsia="Calibri"/>
          <w:sz w:val="28"/>
          <w:szCs w:val="28"/>
        </w:rPr>
      </w:pPr>
      <w:r w:rsidRPr="00497127">
        <w:rPr>
          <w:rFonts w:eastAsia="Calibri"/>
          <w:sz w:val="28"/>
          <w:szCs w:val="28"/>
        </w:rPr>
        <w:t xml:space="preserve">Клиническое течение COVID-19 отличается выраженной вариабельностью - от бессимптомных форм до тяжёлых и критических состояний, сопровождающихся прогрессирующей дыхательной недостаточностью и необходимостью проведения интенсивной терапии. Наибольшая клинико-прогностическая и социальная значимость отмечается у коморбидных пациентов, у которых новая </w:t>
      </w:r>
      <w:proofErr w:type="spellStart"/>
      <w:r w:rsidRPr="00497127">
        <w:rPr>
          <w:rFonts w:eastAsia="Calibri"/>
          <w:sz w:val="28"/>
          <w:szCs w:val="28"/>
        </w:rPr>
        <w:t>коронавирусная</w:t>
      </w:r>
      <w:proofErr w:type="spellEnd"/>
      <w:r w:rsidRPr="00497127">
        <w:rPr>
          <w:rFonts w:eastAsia="Calibri"/>
          <w:sz w:val="28"/>
          <w:szCs w:val="28"/>
        </w:rPr>
        <w:t xml:space="preserve"> инфекция нередко протекает в тяжёлой форме. По данным многочисленных отечественных и зарубежных исследований, наличие сопутствующих заболеваний — артериальной гипертензии, сахарного диабета 2 типа, ожирения, сердечно-сосудистых и цереброваскулярных заболеваний, хронической болезни почек, онкологической патологии - достоверно ассоциируется с повышенным риском тяжёлого течения COVID-19 и летального исхода [6 - 13].</w:t>
      </w:r>
    </w:p>
    <w:p w:rsidR="00497127" w:rsidRPr="00497127" w:rsidRDefault="002566D9" w:rsidP="001763C1">
      <w:pPr>
        <w:widowControl/>
        <w:autoSpaceDE/>
        <w:autoSpaceDN/>
        <w:ind w:firstLine="567"/>
        <w:jc w:val="both"/>
        <w:rPr>
          <w:rFonts w:eastAsia="Calibri"/>
          <w:sz w:val="28"/>
          <w:szCs w:val="28"/>
        </w:rPr>
      </w:pPr>
      <w:r w:rsidRPr="002566D9">
        <w:rPr>
          <w:rFonts w:eastAsia="Calibri"/>
          <w:sz w:val="28"/>
          <w:szCs w:val="28"/>
        </w:rPr>
        <w:t xml:space="preserve">По данным современных систематических обзоров и метаанализов, наличие сахарного диабета 2 типа, артериальной гипертензии и ожирения достоверно ассоциируется с повышением риска тяжёлого течения и летального исхода COVID-19. В частности, при сахарном диабете относительный риск смерти возрастает в среднем в 1,5–2 раза по сравнению с пациентами без диабета, а наличие мультиморбидности дополнительно усиливает вероятность неблагоприятного исхода </w:t>
      </w:r>
      <w:r w:rsidR="00497127" w:rsidRPr="00497127">
        <w:rPr>
          <w:rFonts w:eastAsia="Calibri"/>
          <w:sz w:val="28"/>
          <w:szCs w:val="28"/>
        </w:rPr>
        <w:t>[</w:t>
      </w:r>
      <w:r>
        <w:rPr>
          <w:rFonts w:eastAsia="Calibri"/>
          <w:sz w:val="28"/>
          <w:szCs w:val="28"/>
        </w:rPr>
        <w:t>14,</w:t>
      </w:r>
      <w:r w:rsidR="00497127" w:rsidRPr="00497127">
        <w:rPr>
          <w:rFonts w:eastAsia="Calibri"/>
          <w:sz w:val="28"/>
          <w:szCs w:val="28"/>
        </w:rPr>
        <w:t>15].</w:t>
      </w:r>
    </w:p>
    <w:p w:rsidR="00497127" w:rsidRPr="00F44051" w:rsidRDefault="000B41FC" w:rsidP="001763C1">
      <w:pPr>
        <w:widowControl/>
        <w:autoSpaceDE/>
        <w:autoSpaceDN/>
        <w:ind w:firstLine="567"/>
        <w:jc w:val="both"/>
        <w:rPr>
          <w:rFonts w:eastAsia="Calibri"/>
          <w:sz w:val="28"/>
          <w:szCs w:val="28"/>
        </w:rPr>
      </w:pPr>
      <w:r w:rsidRPr="000B41FC">
        <w:rPr>
          <w:rFonts w:eastAsia="Calibri"/>
          <w:sz w:val="28"/>
          <w:szCs w:val="28"/>
        </w:rPr>
        <w:t>Патогенез тяжёлых форм COVID-19 включает развитие вирусной пневмонии, активацию системного воспалительного ответа, нарушение системы гемостаза и полиорганную недостаточность [16–</w:t>
      </w:r>
      <w:r w:rsidR="00A07018">
        <w:rPr>
          <w:rFonts w:eastAsia="Calibri"/>
          <w:sz w:val="28"/>
          <w:szCs w:val="28"/>
        </w:rPr>
        <w:t>17</w:t>
      </w:r>
      <w:r w:rsidRPr="000B41FC">
        <w:rPr>
          <w:rFonts w:eastAsia="Calibri"/>
          <w:sz w:val="28"/>
          <w:szCs w:val="28"/>
        </w:rPr>
        <w:t>]</w:t>
      </w:r>
      <w:r w:rsidR="00497127" w:rsidRPr="00497127">
        <w:rPr>
          <w:rFonts w:eastAsia="Calibri"/>
          <w:sz w:val="28"/>
          <w:szCs w:val="28"/>
        </w:rPr>
        <w:t xml:space="preserve">. Важную роль в прогнозировании неблагоприятных исходов играет возраст пациента.                      </w:t>
      </w:r>
      <w:r w:rsidR="00F44051" w:rsidRPr="00F44051">
        <w:rPr>
          <w:rFonts w:eastAsia="Calibri"/>
          <w:sz w:val="28"/>
          <w:szCs w:val="28"/>
        </w:rPr>
        <w:t xml:space="preserve">По данным систематического глобального обзора A. </w:t>
      </w:r>
      <w:proofErr w:type="spellStart"/>
      <w:r w:rsidR="00F44051" w:rsidRPr="00F44051">
        <w:rPr>
          <w:rFonts w:eastAsia="Calibri"/>
          <w:sz w:val="28"/>
          <w:szCs w:val="28"/>
        </w:rPr>
        <w:t>Booth</w:t>
      </w:r>
      <w:proofErr w:type="spellEnd"/>
      <w:r w:rsidR="00F44051" w:rsidRPr="00F44051">
        <w:rPr>
          <w:rFonts w:eastAsia="Calibri"/>
          <w:sz w:val="28"/>
          <w:szCs w:val="28"/>
        </w:rPr>
        <w:t xml:space="preserve"> и </w:t>
      </w:r>
      <w:proofErr w:type="spellStart"/>
      <w:r w:rsidR="00F44051" w:rsidRPr="00F44051">
        <w:rPr>
          <w:rFonts w:eastAsia="Calibri"/>
          <w:sz w:val="28"/>
          <w:szCs w:val="28"/>
        </w:rPr>
        <w:t>соавт</w:t>
      </w:r>
      <w:proofErr w:type="spellEnd"/>
      <w:r w:rsidR="00F44051" w:rsidRPr="00F44051">
        <w:rPr>
          <w:rFonts w:eastAsia="Calibri"/>
          <w:sz w:val="28"/>
          <w:szCs w:val="28"/>
        </w:rPr>
        <w:t>., у лиц старше 70 лет риск летального исхода возрастает более чем в три раза (ОР = 3,61; 95% ДИ: 2,70–4,84) [18].</w:t>
      </w:r>
    </w:p>
    <w:p w:rsidR="00497127" w:rsidRPr="00497127" w:rsidRDefault="00497127" w:rsidP="001763C1">
      <w:pPr>
        <w:widowControl/>
        <w:autoSpaceDE/>
        <w:autoSpaceDN/>
        <w:ind w:firstLine="567"/>
        <w:jc w:val="both"/>
        <w:rPr>
          <w:rFonts w:eastAsia="Calibri"/>
          <w:sz w:val="28"/>
          <w:szCs w:val="28"/>
        </w:rPr>
      </w:pPr>
      <w:r w:rsidRPr="00497127">
        <w:rPr>
          <w:rFonts w:eastAsia="Calibri"/>
          <w:sz w:val="28"/>
          <w:szCs w:val="28"/>
        </w:rPr>
        <w:lastRenderedPageBreak/>
        <w:t xml:space="preserve">Ключевым звеном патогенеза тяжёлых форм COVID-19 является развитие </w:t>
      </w:r>
      <w:proofErr w:type="spellStart"/>
      <w:r w:rsidRPr="00497127">
        <w:rPr>
          <w:rFonts w:eastAsia="Calibri"/>
          <w:sz w:val="28"/>
          <w:szCs w:val="28"/>
        </w:rPr>
        <w:t>цитокинового</w:t>
      </w:r>
      <w:proofErr w:type="spellEnd"/>
      <w:r w:rsidRPr="00497127">
        <w:rPr>
          <w:rFonts w:eastAsia="Calibri"/>
          <w:sz w:val="28"/>
          <w:szCs w:val="28"/>
        </w:rPr>
        <w:t xml:space="preserve"> шторма - </w:t>
      </w:r>
      <w:proofErr w:type="spellStart"/>
      <w:r w:rsidRPr="00497127">
        <w:rPr>
          <w:rFonts w:eastAsia="Calibri"/>
          <w:sz w:val="28"/>
          <w:szCs w:val="28"/>
        </w:rPr>
        <w:t>гиперактивации</w:t>
      </w:r>
      <w:proofErr w:type="spellEnd"/>
      <w:r w:rsidRPr="00497127">
        <w:rPr>
          <w:rFonts w:eastAsia="Calibri"/>
          <w:sz w:val="28"/>
          <w:szCs w:val="28"/>
        </w:rPr>
        <w:t xml:space="preserve"> иммунного ответа с формированием </w:t>
      </w:r>
      <w:proofErr w:type="spellStart"/>
      <w:r w:rsidRPr="00497127">
        <w:rPr>
          <w:rFonts w:eastAsia="Calibri"/>
          <w:sz w:val="28"/>
          <w:szCs w:val="28"/>
        </w:rPr>
        <w:t>гиперцитокинемии</w:t>
      </w:r>
      <w:proofErr w:type="spellEnd"/>
      <w:r w:rsidRPr="00497127">
        <w:rPr>
          <w:rFonts w:eastAsia="Calibri"/>
          <w:sz w:val="28"/>
          <w:szCs w:val="28"/>
        </w:rPr>
        <w:t xml:space="preserve">, системного воспаления и полиорганной дисфункции                  </w:t>
      </w:r>
      <w:proofErr w:type="gramStart"/>
      <w:r w:rsidRPr="00497127">
        <w:rPr>
          <w:rFonts w:eastAsia="Calibri"/>
          <w:sz w:val="28"/>
          <w:szCs w:val="28"/>
        </w:rPr>
        <w:t xml:space="preserve">   [</w:t>
      </w:r>
      <w:proofErr w:type="gramEnd"/>
      <w:r w:rsidRPr="00497127">
        <w:rPr>
          <w:rFonts w:eastAsia="Calibri"/>
          <w:sz w:val="28"/>
          <w:szCs w:val="28"/>
        </w:rPr>
        <w:t>18]. Данный механизм особенно часто реализуется у пациентов пожилого возраста и лиц с коморбидной патологией, однако выраженная гиперцитокинемия может наблюдаться и у пациентов без сопутствующих заболеваний, что подчёркивает универсальный характер патогенетического процесса [19, 20].</w:t>
      </w:r>
    </w:p>
    <w:p w:rsidR="00497127" w:rsidRPr="00497127" w:rsidRDefault="00497127" w:rsidP="001763C1">
      <w:pPr>
        <w:widowControl/>
        <w:autoSpaceDE/>
        <w:autoSpaceDN/>
        <w:ind w:firstLine="567"/>
        <w:jc w:val="both"/>
        <w:rPr>
          <w:rFonts w:eastAsia="Calibri"/>
          <w:sz w:val="28"/>
          <w:szCs w:val="28"/>
        </w:rPr>
      </w:pPr>
      <w:r w:rsidRPr="00497127">
        <w:rPr>
          <w:rFonts w:eastAsia="Calibri"/>
          <w:sz w:val="28"/>
          <w:szCs w:val="28"/>
        </w:rPr>
        <w:t xml:space="preserve">Значительную роль в </w:t>
      </w:r>
      <w:r w:rsidR="00DA6AC7" w:rsidRPr="00497127">
        <w:rPr>
          <w:rFonts w:eastAsia="Calibri"/>
          <w:sz w:val="28"/>
          <w:szCs w:val="28"/>
        </w:rPr>
        <w:t>оценке последствий</w:t>
      </w:r>
      <w:r w:rsidRPr="00497127">
        <w:rPr>
          <w:rFonts w:eastAsia="Calibri"/>
          <w:sz w:val="28"/>
          <w:szCs w:val="28"/>
        </w:rPr>
        <w:t xml:space="preserve"> COVID-19 играет экономическая нагрузка, связанная с лечением пациентов. Наличие коморбидной патологии приводит к увеличению затрат на медицинскую помощь за счёт удлинения сроков госпитализации, роста потребности в интенсивной терапии и применения дорогостоящих лекарственных средств, включая генно-инженерные биологические препараты и противовирусные средства. Коморбидность ассоциируется не только с увеличением экономических затрат, но и с утяжелением клинического течения заболевания и ростом летальности.    По данным А. В. Молочкова и </w:t>
      </w:r>
      <w:proofErr w:type="spellStart"/>
      <w:r w:rsidRPr="00497127">
        <w:rPr>
          <w:rFonts w:eastAsia="Calibri"/>
          <w:sz w:val="28"/>
          <w:szCs w:val="28"/>
        </w:rPr>
        <w:t>соавт</w:t>
      </w:r>
      <w:proofErr w:type="spellEnd"/>
      <w:r w:rsidRPr="00497127">
        <w:rPr>
          <w:rFonts w:eastAsia="Calibri"/>
          <w:sz w:val="28"/>
          <w:szCs w:val="28"/>
        </w:rPr>
        <w:t xml:space="preserve">. (2020), наличие хотя бы одного коморбидного состояния увеличивало госпитальную летальность пациентов с COVID-19   с 9,4% до 13,9%, а при наличии </w:t>
      </w:r>
      <w:proofErr w:type="spellStart"/>
      <w:r w:rsidRPr="00497127">
        <w:rPr>
          <w:rFonts w:eastAsia="Calibri"/>
          <w:sz w:val="28"/>
          <w:szCs w:val="28"/>
        </w:rPr>
        <w:t>мультиморбидной</w:t>
      </w:r>
      <w:proofErr w:type="spellEnd"/>
      <w:r w:rsidRPr="00497127">
        <w:rPr>
          <w:rFonts w:eastAsia="Calibri"/>
          <w:sz w:val="28"/>
          <w:szCs w:val="28"/>
        </w:rPr>
        <w:t xml:space="preserve"> патологии — до 24,8% [13].</w:t>
      </w:r>
    </w:p>
    <w:p w:rsidR="00497127" w:rsidRPr="00497127" w:rsidRDefault="00497127" w:rsidP="001763C1">
      <w:pPr>
        <w:widowControl/>
        <w:autoSpaceDE/>
        <w:autoSpaceDN/>
        <w:ind w:firstLine="567"/>
        <w:jc w:val="both"/>
        <w:rPr>
          <w:rFonts w:eastAsia="Calibri"/>
          <w:sz w:val="28"/>
          <w:szCs w:val="28"/>
        </w:rPr>
      </w:pPr>
      <w:r w:rsidRPr="00497127">
        <w:rPr>
          <w:rFonts w:eastAsia="Calibri"/>
          <w:sz w:val="28"/>
          <w:szCs w:val="28"/>
        </w:rPr>
        <w:t>Сходные выводы получены и в других отечественных и зарубежных исследованиях, согласно которым наличие сердечно-сосудистых заболеваний, сахарного диабета 2-го типа, ожирения, хронической болезни почек, онкологической патологии, а также их сочетаний достоверно ассоциируется с повышенным риском тяжёлого течения COVID-19, необходимостью лечения в условиях отделений реанимации и интенсивной терапии и ростом летальности [</w:t>
      </w:r>
      <w:r w:rsidR="00257A9A">
        <w:rPr>
          <w:rFonts w:eastAsia="Calibri"/>
          <w:sz w:val="28"/>
          <w:szCs w:val="28"/>
        </w:rPr>
        <w:t>21</w:t>
      </w:r>
      <w:r w:rsidRPr="00497127">
        <w:rPr>
          <w:rFonts w:eastAsia="Calibri"/>
          <w:sz w:val="28"/>
          <w:szCs w:val="28"/>
        </w:rPr>
        <w:t>–24].</w:t>
      </w:r>
    </w:p>
    <w:p w:rsidR="00497127" w:rsidRPr="00497127" w:rsidRDefault="00497127" w:rsidP="001763C1">
      <w:pPr>
        <w:widowControl/>
        <w:autoSpaceDE/>
        <w:autoSpaceDN/>
        <w:ind w:firstLine="567"/>
        <w:jc w:val="both"/>
        <w:rPr>
          <w:rFonts w:eastAsia="Calibri"/>
          <w:sz w:val="28"/>
          <w:szCs w:val="28"/>
        </w:rPr>
      </w:pPr>
      <w:r w:rsidRPr="00497127">
        <w:rPr>
          <w:rFonts w:eastAsia="Calibri"/>
          <w:sz w:val="28"/>
          <w:szCs w:val="28"/>
        </w:rPr>
        <w:t>Высокий клинико-прогностический риск у коморбидных пациентов, особенности течения заболевания, сложности выбора тактики ведения, высокая частота перевода в отделения реанимации и интенсивной терапии, а также значительные экономические затраты обусловливают необходимость комплексного изучения данной категории больных. В условиях Республики Казахстан до настоящего времени сохраняется недостаточное количество исследований, которые одновременно учитывали бы клинико-лабораторные характеристики, прогностические маркеры, фармакоэкономические аспекты терапии и разработку оптимизированных алгоритмов динамического наблюдения за коморбидными пациентами с COVID-19, что и определяет актуальность настоящего диссертационного исследования.</w:t>
      </w:r>
    </w:p>
    <w:bookmarkEnd w:id="0"/>
    <w:p w:rsidR="00497127" w:rsidRPr="00497127" w:rsidRDefault="00497127" w:rsidP="001763C1">
      <w:pPr>
        <w:widowControl/>
        <w:tabs>
          <w:tab w:val="left" w:pos="993"/>
        </w:tabs>
        <w:autoSpaceDE/>
        <w:autoSpaceDN/>
        <w:rPr>
          <w:b/>
          <w:bCs/>
          <w:sz w:val="28"/>
          <w:szCs w:val="28"/>
        </w:rPr>
      </w:pPr>
      <w:r w:rsidRPr="00497127">
        <w:rPr>
          <w:b/>
          <w:bCs/>
          <w:sz w:val="28"/>
          <w:szCs w:val="28"/>
        </w:rPr>
        <w:t>Гипотеза исследования.</w:t>
      </w:r>
    </w:p>
    <w:p w:rsidR="00497127" w:rsidRPr="00497127" w:rsidRDefault="00497127" w:rsidP="001763C1">
      <w:pPr>
        <w:widowControl/>
        <w:tabs>
          <w:tab w:val="left" w:pos="993"/>
        </w:tabs>
        <w:autoSpaceDE/>
        <w:autoSpaceDN/>
        <w:jc w:val="both"/>
        <w:rPr>
          <w:sz w:val="28"/>
          <w:szCs w:val="28"/>
        </w:rPr>
      </w:pPr>
      <w:r w:rsidRPr="00497127">
        <w:rPr>
          <w:sz w:val="28"/>
          <w:szCs w:val="28"/>
        </w:rPr>
        <w:t xml:space="preserve">Предполагается, что у коморбидных пациентов с COVID-19 совокупность клинико-лабораторных показателей и их динамика в процессе лечения позволяют выявить независимые предикторы тяжёлого течения и неблагоприятного исхода заболевания. Использование выявленных прогностических факторов в сочетании с фармакоэкономическим анализом применяемых схем терапии создаёт научное обоснование для оптимизации </w:t>
      </w:r>
      <w:r w:rsidRPr="00497127">
        <w:rPr>
          <w:sz w:val="28"/>
          <w:szCs w:val="28"/>
        </w:rPr>
        <w:lastRenderedPageBreak/>
        <w:t>клинических и организационных подходов к ведению данной категории больных, включая разработку алгоритмов динамического амбулаторного наблюдения.</w:t>
      </w:r>
    </w:p>
    <w:p w:rsidR="00497127" w:rsidRPr="00497127" w:rsidRDefault="00497127" w:rsidP="001763C1">
      <w:pPr>
        <w:widowControl/>
        <w:tabs>
          <w:tab w:val="left" w:pos="993"/>
        </w:tabs>
        <w:autoSpaceDE/>
        <w:autoSpaceDN/>
        <w:jc w:val="both"/>
        <w:rPr>
          <w:sz w:val="28"/>
          <w:szCs w:val="28"/>
        </w:rPr>
      </w:pPr>
      <w:r w:rsidRPr="00497127">
        <w:rPr>
          <w:b/>
          <w:bCs/>
          <w:sz w:val="28"/>
          <w:szCs w:val="28"/>
        </w:rPr>
        <w:t>Цель исследования</w:t>
      </w:r>
      <w:r w:rsidRPr="00497127">
        <w:rPr>
          <w:b/>
          <w:sz w:val="28"/>
          <w:szCs w:val="28"/>
        </w:rPr>
        <w:t xml:space="preserve"> — </w:t>
      </w:r>
      <w:r w:rsidRPr="00497127">
        <w:rPr>
          <w:sz w:val="28"/>
          <w:szCs w:val="28"/>
        </w:rPr>
        <w:t>комплексная оценка клинико-лабораторных предикторов тяжёлого течения и неблагоприятного исхода COVID-19 у коморбидных пациентов с последующим фармакоэкономическим обоснованием этиопатогенетической терапии и разработкой алгоритма оптимизации динамического амбулаторного наблюдения.</w:t>
      </w:r>
    </w:p>
    <w:p w:rsidR="00497127" w:rsidRPr="00497127" w:rsidRDefault="00497127" w:rsidP="001763C1">
      <w:pPr>
        <w:widowControl/>
        <w:tabs>
          <w:tab w:val="left" w:pos="993"/>
        </w:tabs>
        <w:autoSpaceDE/>
        <w:autoSpaceDN/>
        <w:jc w:val="both"/>
        <w:rPr>
          <w:b/>
          <w:sz w:val="28"/>
          <w:szCs w:val="28"/>
        </w:rPr>
      </w:pPr>
      <w:r w:rsidRPr="00497127">
        <w:rPr>
          <w:b/>
          <w:bCs/>
          <w:sz w:val="28"/>
          <w:szCs w:val="28"/>
        </w:rPr>
        <w:t>Задачи исследования:</w:t>
      </w:r>
    </w:p>
    <w:p w:rsidR="00497127" w:rsidRPr="00497127" w:rsidRDefault="00497127" w:rsidP="001763C1">
      <w:pPr>
        <w:widowControl/>
        <w:tabs>
          <w:tab w:val="left" w:pos="993"/>
        </w:tabs>
        <w:autoSpaceDE/>
        <w:autoSpaceDN/>
        <w:jc w:val="both"/>
        <w:rPr>
          <w:sz w:val="28"/>
          <w:szCs w:val="28"/>
        </w:rPr>
      </w:pPr>
      <w:r w:rsidRPr="00497127">
        <w:rPr>
          <w:sz w:val="28"/>
          <w:szCs w:val="28"/>
        </w:rPr>
        <w:t>1. Изучить клинико-лабораторные показатели   у коморбидных пациентов с новой коронавирусной инфекцией COVID-19 в зависимости от степени тяжести заболевания.</w:t>
      </w:r>
    </w:p>
    <w:p w:rsidR="00497127" w:rsidRPr="00497127" w:rsidRDefault="00497127" w:rsidP="001763C1">
      <w:pPr>
        <w:widowControl/>
        <w:tabs>
          <w:tab w:val="left" w:pos="993"/>
        </w:tabs>
        <w:autoSpaceDE/>
        <w:autoSpaceDN/>
        <w:jc w:val="both"/>
        <w:rPr>
          <w:sz w:val="28"/>
          <w:szCs w:val="28"/>
        </w:rPr>
      </w:pPr>
      <w:r w:rsidRPr="00497127">
        <w:rPr>
          <w:sz w:val="28"/>
          <w:szCs w:val="28"/>
        </w:rPr>
        <w:t xml:space="preserve">2. Исследовать прогноз и клинические исходы новой коронавирусной </w:t>
      </w:r>
      <w:r w:rsidR="007708BE" w:rsidRPr="00497127">
        <w:rPr>
          <w:sz w:val="28"/>
          <w:szCs w:val="28"/>
        </w:rPr>
        <w:t>инфекции COVID</w:t>
      </w:r>
      <w:r w:rsidRPr="00497127">
        <w:rPr>
          <w:sz w:val="28"/>
          <w:szCs w:val="28"/>
        </w:rPr>
        <w:t>-19 у пациентов с тяжелым течением заболева</w:t>
      </w:r>
      <w:r w:rsidR="00FD3E12">
        <w:rPr>
          <w:sz w:val="28"/>
          <w:szCs w:val="28"/>
        </w:rPr>
        <w:t>ния</w:t>
      </w:r>
      <w:r w:rsidRPr="00497127">
        <w:rPr>
          <w:sz w:val="28"/>
          <w:szCs w:val="28"/>
        </w:rPr>
        <w:t>.</w:t>
      </w:r>
    </w:p>
    <w:p w:rsidR="00497127" w:rsidRPr="00497127" w:rsidRDefault="00497127" w:rsidP="001763C1">
      <w:pPr>
        <w:widowControl/>
        <w:tabs>
          <w:tab w:val="left" w:pos="993"/>
        </w:tabs>
        <w:autoSpaceDE/>
        <w:autoSpaceDN/>
        <w:jc w:val="both"/>
        <w:rPr>
          <w:sz w:val="28"/>
          <w:szCs w:val="28"/>
        </w:rPr>
      </w:pPr>
      <w:r w:rsidRPr="00497127">
        <w:rPr>
          <w:sz w:val="28"/>
          <w:szCs w:val="28"/>
        </w:rPr>
        <w:t>3. Оценить эффективность различных схем терапии новой коронавирусной инфекции COVID-19    у больных с коморбидностью.</w:t>
      </w:r>
    </w:p>
    <w:p w:rsidR="00497127" w:rsidRPr="00497127" w:rsidRDefault="00497127" w:rsidP="001763C1">
      <w:pPr>
        <w:widowControl/>
        <w:tabs>
          <w:tab w:val="left" w:pos="993"/>
        </w:tabs>
        <w:autoSpaceDE/>
        <w:autoSpaceDN/>
        <w:jc w:val="both"/>
        <w:rPr>
          <w:sz w:val="28"/>
          <w:szCs w:val="28"/>
        </w:rPr>
      </w:pPr>
      <w:r w:rsidRPr="00497127">
        <w:rPr>
          <w:sz w:val="28"/>
          <w:szCs w:val="28"/>
        </w:rPr>
        <w:t>4. Провести экономическую оценку (затратность) и анализ целесообразности проводимой этиопатогенетической терапии больных с COVID-19 с расчетом относительного риска (RR) неблагоприятного исхода заболевания.</w:t>
      </w:r>
    </w:p>
    <w:p w:rsidR="00497127" w:rsidRPr="00497127" w:rsidRDefault="00497127" w:rsidP="001763C1">
      <w:pPr>
        <w:widowControl/>
        <w:tabs>
          <w:tab w:val="left" w:pos="993"/>
        </w:tabs>
        <w:autoSpaceDE/>
        <w:autoSpaceDN/>
        <w:jc w:val="both"/>
        <w:rPr>
          <w:sz w:val="28"/>
          <w:szCs w:val="28"/>
        </w:rPr>
      </w:pPr>
      <w:r w:rsidRPr="00497127">
        <w:rPr>
          <w:sz w:val="28"/>
          <w:szCs w:val="28"/>
        </w:rPr>
        <w:t>5. Оптимизировать на основании полученных результатов алгоритм динамического наблюдения на амбулаторном уровне за реконвалесцентами, перенесшими COVID-19.</w:t>
      </w:r>
    </w:p>
    <w:p w:rsidR="00497127" w:rsidRPr="00497127" w:rsidRDefault="00497127" w:rsidP="001763C1">
      <w:pPr>
        <w:widowControl/>
        <w:tabs>
          <w:tab w:val="left" w:pos="993"/>
        </w:tabs>
        <w:autoSpaceDE/>
        <w:autoSpaceDN/>
        <w:jc w:val="both"/>
        <w:rPr>
          <w:sz w:val="28"/>
          <w:szCs w:val="28"/>
        </w:rPr>
      </w:pPr>
      <w:r w:rsidRPr="00497127">
        <w:rPr>
          <w:b/>
          <w:sz w:val="28"/>
          <w:szCs w:val="28"/>
        </w:rPr>
        <w:t>Объект исследования</w:t>
      </w:r>
      <w:r w:rsidRPr="00497127">
        <w:rPr>
          <w:sz w:val="28"/>
          <w:szCs w:val="28"/>
        </w:rPr>
        <w:t xml:space="preserve"> – госпитализированные пациенты с подтверждённым диагнозом </w:t>
      </w:r>
      <w:r w:rsidRPr="00497127">
        <w:rPr>
          <w:sz w:val="28"/>
          <w:szCs w:val="28"/>
          <w:lang w:val="en-US"/>
        </w:rPr>
        <w:t>COVID</w:t>
      </w:r>
      <w:r w:rsidRPr="00497127">
        <w:rPr>
          <w:sz w:val="28"/>
          <w:szCs w:val="28"/>
        </w:rPr>
        <w:t>-19 и сопутствующей патологией со среднетяжёлым и тяжёлым течением заболевания, включённые в исследование на базе Инфекционного центра КГП «Областная клиническая больница» Управления здравоохранения Карагандинской области в период с января 2021 года по февраль 2022 года.</w:t>
      </w:r>
      <w:r w:rsidRPr="00497127">
        <w:rPr>
          <w:sz w:val="28"/>
          <w:szCs w:val="28"/>
        </w:rPr>
        <w:tab/>
      </w:r>
    </w:p>
    <w:p w:rsidR="00497127" w:rsidRPr="00497127" w:rsidRDefault="00497127" w:rsidP="001763C1">
      <w:pPr>
        <w:widowControl/>
        <w:tabs>
          <w:tab w:val="left" w:pos="993"/>
        </w:tabs>
        <w:autoSpaceDE/>
        <w:autoSpaceDN/>
        <w:jc w:val="both"/>
        <w:rPr>
          <w:b/>
          <w:sz w:val="28"/>
          <w:szCs w:val="28"/>
        </w:rPr>
      </w:pPr>
      <w:r w:rsidRPr="00497127">
        <w:rPr>
          <w:b/>
          <w:sz w:val="28"/>
          <w:szCs w:val="28"/>
        </w:rPr>
        <w:t>Научная новизна исследования</w:t>
      </w:r>
      <w:bookmarkStart w:id="1" w:name="_Hlk222515965"/>
      <w:r w:rsidRPr="00497127">
        <w:rPr>
          <w:b/>
          <w:sz w:val="28"/>
          <w:szCs w:val="28"/>
        </w:rPr>
        <w:t>:</w:t>
      </w:r>
    </w:p>
    <w:bookmarkEnd w:id="1"/>
    <w:p w:rsidR="00497127" w:rsidRPr="00497127" w:rsidRDefault="00497127" w:rsidP="001763C1">
      <w:pPr>
        <w:widowControl/>
        <w:numPr>
          <w:ilvl w:val="0"/>
          <w:numId w:val="9"/>
        </w:numPr>
        <w:tabs>
          <w:tab w:val="left" w:pos="993"/>
        </w:tabs>
        <w:autoSpaceDE/>
        <w:autoSpaceDN/>
        <w:spacing w:line="259" w:lineRule="auto"/>
        <w:contextualSpacing/>
        <w:jc w:val="both"/>
        <w:rPr>
          <w:sz w:val="28"/>
          <w:szCs w:val="28"/>
        </w:rPr>
      </w:pPr>
      <w:r w:rsidRPr="00497127">
        <w:rPr>
          <w:sz w:val="28"/>
          <w:szCs w:val="28"/>
        </w:rPr>
        <w:t>Выполнен комплексный анализ клинико-лабораторных предикторов тяжёлого течения и неблагоприятного исхода COVID-19 у госпитализированных коморбидных пациентов с одновременной фармакоэкономической оценкой этиопатогенетической терапии в стационарах Республики Казахстан.</w:t>
      </w:r>
    </w:p>
    <w:p w:rsidR="00497127" w:rsidRPr="00497127" w:rsidRDefault="00497127" w:rsidP="001763C1">
      <w:pPr>
        <w:widowControl/>
        <w:numPr>
          <w:ilvl w:val="0"/>
          <w:numId w:val="9"/>
        </w:numPr>
        <w:tabs>
          <w:tab w:val="left" w:pos="993"/>
        </w:tabs>
        <w:autoSpaceDE/>
        <w:autoSpaceDN/>
        <w:spacing w:line="259" w:lineRule="auto"/>
        <w:contextualSpacing/>
        <w:jc w:val="both"/>
        <w:rPr>
          <w:sz w:val="28"/>
          <w:szCs w:val="28"/>
        </w:rPr>
      </w:pPr>
      <w:r w:rsidRPr="00497127">
        <w:rPr>
          <w:sz w:val="28"/>
          <w:szCs w:val="28"/>
        </w:rPr>
        <w:t xml:space="preserve">Впервые установлены независимые прогностические факторы неблагоприятного исхода </w:t>
      </w:r>
      <w:bookmarkStart w:id="2" w:name="_Hlk222388309"/>
      <w:r w:rsidRPr="00497127">
        <w:rPr>
          <w:sz w:val="28"/>
          <w:szCs w:val="28"/>
        </w:rPr>
        <w:t xml:space="preserve">COVID-19 </w:t>
      </w:r>
      <w:bookmarkEnd w:id="2"/>
      <w:r w:rsidRPr="00497127">
        <w:rPr>
          <w:sz w:val="28"/>
          <w:szCs w:val="28"/>
        </w:rPr>
        <w:t>у коморбидных пациентов, включающие наличие цереброваскулярных заболеваний и неблагоприятную динамику С-реактивного белка и лактатдегидрогеназы.</w:t>
      </w:r>
    </w:p>
    <w:p w:rsidR="00497127" w:rsidRPr="00497127" w:rsidRDefault="00497127" w:rsidP="001763C1">
      <w:pPr>
        <w:widowControl/>
        <w:numPr>
          <w:ilvl w:val="0"/>
          <w:numId w:val="9"/>
        </w:numPr>
        <w:tabs>
          <w:tab w:val="left" w:pos="993"/>
        </w:tabs>
        <w:autoSpaceDE/>
        <w:autoSpaceDN/>
        <w:spacing w:line="259" w:lineRule="auto"/>
        <w:contextualSpacing/>
        <w:jc w:val="both"/>
        <w:rPr>
          <w:sz w:val="28"/>
          <w:szCs w:val="28"/>
        </w:rPr>
      </w:pPr>
      <w:r w:rsidRPr="00497127">
        <w:rPr>
          <w:sz w:val="28"/>
          <w:szCs w:val="28"/>
        </w:rPr>
        <w:t xml:space="preserve">Разработана и валидирована новая прогностическая модель риска летального исхода у госпитализированных пациентов с новой коронавирусной инфекцией основанная на клинико-лабораторных показателях и обладающая достаточной дискриминативной способностью (AUC = 0,92), что позволяет использовать её для </w:t>
      </w:r>
      <w:r w:rsidRPr="00497127">
        <w:rPr>
          <w:sz w:val="28"/>
          <w:szCs w:val="28"/>
        </w:rPr>
        <w:lastRenderedPageBreak/>
        <w:t>клинической стратификации риска</w:t>
      </w:r>
      <w:r w:rsidRPr="00497127">
        <w:rPr>
          <w:rFonts w:ascii="Calibri" w:eastAsia="Calibri" w:hAnsi="Calibri"/>
        </w:rPr>
        <w:t xml:space="preserve"> </w:t>
      </w:r>
      <w:r w:rsidRPr="00497127">
        <w:rPr>
          <w:sz w:val="28"/>
          <w:szCs w:val="28"/>
        </w:rPr>
        <w:t>(свидетельство авторского права № 58503 от 22.05.2025).</w:t>
      </w:r>
    </w:p>
    <w:p w:rsidR="00497127" w:rsidRPr="00497127" w:rsidRDefault="00497127" w:rsidP="001763C1">
      <w:pPr>
        <w:widowControl/>
        <w:numPr>
          <w:ilvl w:val="0"/>
          <w:numId w:val="9"/>
        </w:numPr>
        <w:tabs>
          <w:tab w:val="left" w:pos="993"/>
        </w:tabs>
        <w:autoSpaceDE/>
        <w:autoSpaceDN/>
        <w:spacing w:line="259" w:lineRule="auto"/>
        <w:contextualSpacing/>
        <w:jc w:val="both"/>
        <w:rPr>
          <w:sz w:val="28"/>
          <w:szCs w:val="28"/>
        </w:rPr>
      </w:pPr>
      <w:r w:rsidRPr="00497127">
        <w:rPr>
          <w:sz w:val="28"/>
          <w:szCs w:val="28"/>
        </w:rPr>
        <w:t xml:space="preserve">Впервые проведена фармакоэкономическая оценка этиопатогенетической терапии </w:t>
      </w:r>
      <w:r w:rsidRPr="00497127">
        <w:rPr>
          <w:sz w:val="28"/>
          <w:szCs w:val="28"/>
          <w:lang w:val="en-US"/>
        </w:rPr>
        <w:t>COVID</w:t>
      </w:r>
      <w:r w:rsidRPr="00497127">
        <w:rPr>
          <w:sz w:val="28"/>
          <w:szCs w:val="28"/>
        </w:rPr>
        <w:t xml:space="preserve">-19 у коморбидных пациентов с расчётом показателей </w:t>
      </w:r>
      <w:r w:rsidRPr="00497127">
        <w:rPr>
          <w:sz w:val="28"/>
          <w:szCs w:val="28"/>
          <w:lang w:val="en-US"/>
        </w:rPr>
        <w:t>CER</w:t>
      </w:r>
      <w:r w:rsidRPr="00497127">
        <w:rPr>
          <w:sz w:val="28"/>
          <w:szCs w:val="28"/>
        </w:rPr>
        <w:t xml:space="preserve">, </w:t>
      </w:r>
      <w:r w:rsidRPr="00497127">
        <w:rPr>
          <w:sz w:val="28"/>
          <w:szCs w:val="28"/>
          <w:lang w:val="en-US"/>
        </w:rPr>
        <w:t>ICER</w:t>
      </w:r>
      <w:r w:rsidRPr="00497127">
        <w:rPr>
          <w:sz w:val="28"/>
          <w:szCs w:val="28"/>
        </w:rPr>
        <w:t xml:space="preserve"> и </w:t>
      </w:r>
      <w:r w:rsidRPr="00497127">
        <w:rPr>
          <w:sz w:val="28"/>
          <w:szCs w:val="28"/>
          <w:lang w:val="en-US"/>
        </w:rPr>
        <w:t>CUA</w:t>
      </w:r>
      <w:r w:rsidRPr="00497127">
        <w:rPr>
          <w:sz w:val="28"/>
          <w:szCs w:val="28"/>
        </w:rPr>
        <w:t xml:space="preserve"> (</w:t>
      </w:r>
      <w:r w:rsidRPr="00497127">
        <w:rPr>
          <w:sz w:val="28"/>
          <w:szCs w:val="28"/>
          <w:lang w:val="en-US"/>
        </w:rPr>
        <w:t>QALY</w:t>
      </w:r>
      <w:r w:rsidRPr="00497127">
        <w:rPr>
          <w:sz w:val="28"/>
          <w:szCs w:val="28"/>
        </w:rPr>
        <w:t>), что позволило количественно определить инкрементальные затраты при добавлении ремдесивира.</w:t>
      </w:r>
    </w:p>
    <w:p w:rsidR="00497127" w:rsidRPr="00497127" w:rsidRDefault="00497127" w:rsidP="001763C1">
      <w:pPr>
        <w:widowControl/>
        <w:numPr>
          <w:ilvl w:val="0"/>
          <w:numId w:val="9"/>
        </w:numPr>
        <w:tabs>
          <w:tab w:val="left" w:pos="993"/>
        </w:tabs>
        <w:autoSpaceDE/>
        <w:autoSpaceDN/>
        <w:spacing w:line="259" w:lineRule="auto"/>
        <w:contextualSpacing/>
        <w:jc w:val="both"/>
        <w:rPr>
          <w:sz w:val="28"/>
          <w:szCs w:val="28"/>
        </w:rPr>
      </w:pPr>
      <w:r w:rsidRPr="00497127">
        <w:rPr>
          <w:sz w:val="28"/>
          <w:szCs w:val="28"/>
        </w:rPr>
        <w:t>Разработан и внедрён новый практико-ориентированный алгоритм динамического амбулаторного</w:t>
      </w:r>
      <w:r w:rsidR="00504787">
        <w:rPr>
          <w:sz w:val="28"/>
          <w:szCs w:val="28"/>
        </w:rPr>
        <w:t xml:space="preserve"> наблюдения</w:t>
      </w:r>
      <w:r w:rsidRPr="00497127">
        <w:rPr>
          <w:sz w:val="28"/>
          <w:szCs w:val="28"/>
        </w:rPr>
        <w:t xml:space="preserve"> за реконвалесцентами </w:t>
      </w:r>
      <w:r w:rsidRPr="00497127">
        <w:rPr>
          <w:sz w:val="28"/>
          <w:szCs w:val="28"/>
          <w:lang w:val="en-US"/>
        </w:rPr>
        <w:t>COVID</w:t>
      </w:r>
      <w:r w:rsidRPr="00497127">
        <w:rPr>
          <w:sz w:val="28"/>
          <w:szCs w:val="28"/>
        </w:rPr>
        <w:t>-19 с коморбидной патологией, основанный на риск-ориентированном подходе и интеграции клинико-лабораторных предикторов неблагоприятного исхода</w:t>
      </w:r>
      <w:r w:rsidRPr="00497127">
        <w:rPr>
          <w:rFonts w:ascii="Calibri" w:eastAsia="Calibri" w:hAnsi="Calibri"/>
        </w:rPr>
        <w:t xml:space="preserve"> </w:t>
      </w:r>
      <w:r w:rsidRPr="00497127">
        <w:rPr>
          <w:sz w:val="28"/>
          <w:szCs w:val="28"/>
        </w:rPr>
        <w:t>(свидетельство авторского права № 58505 от 22.05.2025).</w:t>
      </w:r>
    </w:p>
    <w:p w:rsidR="007708BE" w:rsidRDefault="00497127" w:rsidP="001763C1">
      <w:pPr>
        <w:widowControl/>
        <w:tabs>
          <w:tab w:val="left" w:pos="993"/>
        </w:tabs>
        <w:autoSpaceDE/>
        <w:autoSpaceDN/>
        <w:jc w:val="both"/>
        <w:rPr>
          <w:b/>
          <w:bCs/>
          <w:sz w:val="28"/>
          <w:szCs w:val="28"/>
        </w:rPr>
      </w:pPr>
      <w:r w:rsidRPr="00497127">
        <w:rPr>
          <w:b/>
          <w:bCs/>
          <w:sz w:val="28"/>
          <w:szCs w:val="28"/>
        </w:rPr>
        <w:t>Теоретическая значимость</w:t>
      </w:r>
    </w:p>
    <w:p w:rsidR="00497127" w:rsidRPr="00497127" w:rsidRDefault="007708BE" w:rsidP="001763C1">
      <w:pPr>
        <w:widowControl/>
        <w:tabs>
          <w:tab w:val="left" w:pos="993"/>
        </w:tabs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97127" w:rsidRPr="00497127">
        <w:rPr>
          <w:sz w:val="28"/>
          <w:szCs w:val="28"/>
        </w:rPr>
        <w:t xml:space="preserve">Результаты исследования расширяют современные представления о клинико-лабораторных механизмах тяжёлого течения </w:t>
      </w:r>
      <w:r w:rsidR="00497127" w:rsidRPr="00497127">
        <w:rPr>
          <w:sz w:val="28"/>
          <w:szCs w:val="28"/>
          <w:lang w:val="en-US"/>
        </w:rPr>
        <w:t>COVID</w:t>
      </w:r>
      <w:r w:rsidR="00497127" w:rsidRPr="00497127">
        <w:rPr>
          <w:sz w:val="28"/>
          <w:szCs w:val="28"/>
        </w:rPr>
        <w:t>-19 у пациентов с коморбидной патологией и подтверждают ведущую роль динамики воспалительных маркеров в прогнозировании неблагоприятных исходов заболевания.</w:t>
      </w:r>
    </w:p>
    <w:p w:rsidR="00497127" w:rsidRPr="00497127" w:rsidRDefault="00497127" w:rsidP="001763C1">
      <w:pPr>
        <w:widowControl/>
        <w:tabs>
          <w:tab w:val="left" w:pos="993"/>
        </w:tabs>
        <w:autoSpaceDE/>
        <w:autoSpaceDN/>
        <w:jc w:val="both"/>
        <w:rPr>
          <w:b/>
          <w:bCs/>
          <w:sz w:val="28"/>
          <w:szCs w:val="28"/>
        </w:rPr>
      </w:pPr>
      <w:r w:rsidRPr="00497127">
        <w:rPr>
          <w:b/>
          <w:bCs/>
          <w:sz w:val="28"/>
          <w:szCs w:val="28"/>
        </w:rPr>
        <w:t>Практическая значимость</w:t>
      </w:r>
      <w:r w:rsidR="007708BE">
        <w:rPr>
          <w:b/>
          <w:bCs/>
          <w:sz w:val="28"/>
          <w:szCs w:val="28"/>
        </w:rPr>
        <w:t>:</w:t>
      </w:r>
    </w:p>
    <w:p w:rsidR="00497127" w:rsidRPr="00497127" w:rsidRDefault="00497127" w:rsidP="001763C1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spacing w:line="259" w:lineRule="auto"/>
        <w:ind w:left="284"/>
        <w:contextualSpacing/>
        <w:jc w:val="both"/>
        <w:rPr>
          <w:sz w:val="28"/>
          <w:szCs w:val="28"/>
        </w:rPr>
      </w:pPr>
      <w:r w:rsidRPr="00497127">
        <w:rPr>
          <w:sz w:val="28"/>
          <w:szCs w:val="28"/>
        </w:rPr>
        <w:t xml:space="preserve">Выявленные прогностические клинико-лабораторные показатели (С-реактивный белок, лактатдегидрогеназа, ферритин, </w:t>
      </w:r>
      <w:r w:rsidRPr="00497127">
        <w:rPr>
          <w:sz w:val="28"/>
          <w:szCs w:val="28"/>
          <w:lang w:val="en-US"/>
        </w:rPr>
        <w:t>D</w:t>
      </w:r>
      <w:r w:rsidRPr="00497127">
        <w:rPr>
          <w:sz w:val="28"/>
          <w:szCs w:val="28"/>
        </w:rPr>
        <w:t xml:space="preserve">-димер, показатели клеточного состава крови) могут использоваться для ранней стратификации риска у коморбидных пациентов с </w:t>
      </w:r>
      <w:r w:rsidRPr="00497127">
        <w:rPr>
          <w:sz w:val="28"/>
          <w:szCs w:val="28"/>
          <w:lang w:val="en-US"/>
        </w:rPr>
        <w:t>COVID</w:t>
      </w:r>
      <w:r w:rsidRPr="00497127">
        <w:rPr>
          <w:sz w:val="28"/>
          <w:szCs w:val="28"/>
        </w:rPr>
        <w:t>-19.</w:t>
      </w:r>
    </w:p>
    <w:p w:rsidR="00497127" w:rsidRPr="00497127" w:rsidRDefault="00497127" w:rsidP="001763C1">
      <w:pPr>
        <w:widowControl/>
        <w:numPr>
          <w:ilvl w:val="0"/>
          <w:numId w:val="10"/>
        </w:numPr>
        <w:tabs>
          <w:tab w:val="left" w:pos="0"/>
          <w:tab w:val="left" w:pos="284"/>
        </w:tabs>
        <w:autoSpaceDE/>
        <w:autoSpaceDN/>
        <w:spacing w:line="259" w:lineRule="auto"/>
        <w:ind w:left="284"/>
        <w:contextualSpacing/>
        <w:jc w:val="both"/>
        <w:rPr>
          <w:sz w:val="28"/>
          <w:szCs w:val="28"/>
        </w:rPr>
      </w:pPr>
      <w:r w:rsidRPr="00497127">
        <w:rPr>
          <w:sz w:val="28"/>
          <w:szCs w:val="28"/>
        </w:rPr>
        <w:t>Разработанная прогностическая модель риска летального исхода может быть внедрена в практику инфекционных стационаров для обоснования объёма и интенсивности терапии.</w:t>
      </w:r>
    </w:p>
    <w:p w:rsidR="00497127" w:rsidRPr="00497127" w:rsidRDefault="00497127" w:rsidP="001763C1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spacing w:line="259" w:lineRule="auto"/>
        <w:ind w:left="284"/>
        <w:contextualSpacing/>
        <w:jc w:val="both"/>
        <w:rPr>
          <w:sz w:val="28"/>
          <w:szCs w:val="28"/>
        </w:rPr>
      </w:pPr>
      <w:r w:rsidRPr="00497127">
        <w:rPr>
          <w:sz w:val="28"/>
          <w:szCs w:val="28"/>
        </w:rPr>
        <w:t>Результаты фармакоэкономического анализа позволяют обосновать рациональное применение этиопатогенетической терапии, включая противовирусные препараты, в условиях ограниченных ресурсов системы здравоохранения.</w:t>
      </w:r>
    </w:p>
    <w:p w:rsidR="00497127" w:rsidRPr="00497127" w:rsidRDefault="00497127" w:rsidP="001763C1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spacing w:line="259" w:lineRule="auto"/>
        <w:ind w:left="284"/>
        <w:contextualSpacing/>
        <w:jc w:val="both"/>
        <w:rPr>
          <w:sz w:val="28"/>
          <w:szCs w:val="28"/>
        </w:rPr>
      </w:pPr>
      <w:r w:rsidRPr="00497127">
        <w:rPr>
          <w:sz w:val="28"/>
          <w:szCs w:val="28"/>
        </w:rPr>
        <w:t xml:space="preserve">Предложенный алгоритм динамического амбулаторного наблюдения может быть использован в системе первичной медико-санитарной помощи для структурированного мониторинга реконвалесцентов </w:t>
      </w:r>
      <w:r w:rsidRPr="00497127">
        <w:rPr>
          <w:sz w:val="28"/>
          <w:szCs w:val="28"/>
          <w:lang w:val="en-US"/>
        </w:rPr>
        <w:t>COVID</w:t>
      </w:r>
      <w:r w:rsidRPr="00497127">
        <w:rPr>
          <w:sz w:val="28"/>
          <w:szCs w:val="28"/>
        </w:rPr>
        <w:t>-19 и снижения риска повторных госпитализаций.</w:t>
      </w:r>
    </w:p>
    <w:p w:rsidR="00497127" w:rsidRPr="00497127" w:rsidRDefault="00497127" w:rsidP="001763C1">
      <w:pPr>
        <w:widowControl/>
        <w:tabs>
          <w:tab w:val="left" w:pos="993"/>
        </w:tabs>
        <w:autoSpaceDE/>
        <w:autoSpaceDN/>
        <w:jc w:val="both"/>
        <w:rPr>
          <w:b/>
          <w:sz w:val="28"/>
          <w:szCs w:val="28"/>
        </w:rPr>
      </w:pPr>
      <w:r w:rsidRPr="00497127">
        <w:rPr>
          <w:b/>
          <w:sz w:val="28"/>
          <w:szCs w:val="28"/>
        </w:rPr>
        <w:t>Положения, выносимые на защиту</w:t>
      </w:r>
    </w:p>
    <w:p w:rsidR="00497127" w:rsidRPr="00497127" w:rsidRDefault="00497127" w:rsidP="001763C1">
      <w:pPr>
        <w:widowControl/>
        <w:numPr>
          <w:ilvl w:val="0"/>
          <w:numId w:val="11"/>
        </w:numPr>
        <w:shd w:val="clear" w:color="auto" w:fill="FFFFFF"/>
        <w:tabs>
          <w:tab w:val="left" w:pos="142"/>
          <w:tab w:val="left" w:pos="284"/>
          <w:tab w:val="left" w:pos="993"/>
        </w:tabs>
        <w:autoSpaceDE/>
        <w:autoSpaceDN/>
        <w:spacing w:line="259" w:lineRule="auto"/>
        <w:ind w:left="0" w:firstLine="0"/>
        <w:contextualSpacing/>
        <w:jc w:val="both"/>
        <w:rPr>
          <w:sz w:val="28"/>
          <w:szCs w:val="28"/>
        </w:rPr>
      </w:pPr>
      <w:r w:rsidRPr="00497127">
        <w:rPr>
          <w:sz w:val="28"/>
          <w:szCs w:val="28"/>
        </w:rPr>
        <w:t xml:space="preserve">У госпитализированных коморбидных пациентов с </w:t>
      </w:r>
      <w:r w:rsidRPr="00497127">
        <w:rPr>
          <w:sz w:val="28"/>
          <w:szCs w:val="28"/>
          <w:lang w:val="en-US"/>
        </w:rPr>
        <w:t>COVID</w:t>
      </w:r>
      <w:r w:rsidRPr="00497127">
        <w:rPr>
          <w:sz w:val="28"/>
          <w:szCs w:val="28"/>
        </w:rPr>
        <w:t>-19 независимыми предикторами летального исхода являются наличие цереброваскулярных заболеваний (</w:t>
      </w:r>
      <w:r w:rsidRPr="00497127">
        <w:rPr>
          <w:sz w:val="28"/>
          <w:szCs w:val="28"/>
          <w:lang w:val="en-US"/>
        </w:rPr>
        <w:t>OR</w:t>
      </w:r>
      <w:r w:rsidRPr="00497127">
        <w:rPr>
          <w:sz w:val="28"/>
          <w:szCs w:val="28"/>
        </w:rPr>
        <w:t xml:space="preserve"> = 4,40; 95% ДИ: 1,12–18,94; </w:t>
      </w:r>
      <w:r w:rsidRPr="00497127">
        <w:rPr>
          <w:sz w:val="28"/>
          <w:szCs w:val="28"/>
          <w:lang w:val="en-US"/>
        </w:rPr>
        <w:t>p</w:t>
      </w:r>
      <w:r w:rsidRPr="00497127">
        <w:rPr>
          <w:sz w:val="28"/>
          <w:szCs w:val="28"/>
        </w:rPr>
        <w:t xml:space="preserve"> = 0,037), динамическое повышение уровня С-реактивного белка (</w:t>
      </w:r>
      <w:r w:rsidRPr="00497127">
        <w:rPr>
          <w:sz w:val="28"/>
          <w:szCs w:val="28"/>
          <w:lang w:val="en-US"/>
        </w:rPr>
        <w:t>OR</w:t>
      </w:r>
      <w:r w:rsidRPr="00497127">
        <w:rPr>
          <w:sz w:val="28"/>
          <w:szCs w:val="28"/>
        </w:rPr>
        <w:t xml:space="preserve"> = 1,016; </w:t>
      </w:r>
      <w:r w:rsidRPr="00497127">
        <w:rPr>
          <w:sz w:val="28"/>
          <w:szCs w:val="28"/>
          <w:lang w:val="en-US"/>
        </w:rPr>
        <w:t>p</w:t>
      </w:r>
      <w:r w:rsidRPr="00497127">
        <w:rPr>
          <w:sz w:val="28"/>
          <w:szCs w:val="28"/>
        </w:rPr>
        <w:t xml:space="preserve"> = 0,003) и лактатдегидрогеназы (</w:t>
      </w:r>
      <w:r w:rsidRPr="00497127">
        <w:rPr>
          <w:sz w:val="28"/>
          <w:szCs w:val="28"/>
          <w:lang w:val="en-US"/>
        </w:rPr>
        <w:t>OR</w:t>
      </w:r>
      <w:r w:rsidRPr="00497127">
        <w:rPr>
          <w:sz w:val="28"/>
          <w:szCs w:val="28"/>
        </w:rPr>
        <w:t xml:space="preserve"> = 1,001; </w:t>
      </w:r>
      <w:r w:rsidRPr="00497127">
        <w:rPr>
          <w:sz w:val="28"/>
          <w:szCs w:val="28"/>
          <w:lang w:val="en-US"/>
        </w:rPr>
        <w:t>p</w:t>
      </w:r>
      <w:r w:rsidRPr="00497127">
        <w:rPr>
          <w:sz w:val="28"/>
          <w:szCs w:val="28"/>
        </w:rPr>
        <w:t xml:space="preserve"> = 0,037).</w:t>
      </w:r>
    </w:p>
    <w:p w:rsidR="00497127" w:rsidRPr="00497127" w:rsidRDefault="00497127" w:rsidP="001763C1">
      <w:pPr>
        <w:widowControl/>
        <w:numPr>
          <w:ilvl w:val="0"/>
          <w:numId w:val="11"/>
        </w:numPr>
        <w:shd w:val="clear" w:color="auto" w:fill="FFFFFF"/>
        <w:tabs>
          <w:tab w:val="left" w:pos="142"/>
          <w:tab w:val="left" w:pos="284"/>
          <w:tab w:val="left" w:pos="993"/>
        </w:tabs>
        <w:autoSpaceDE/>
        <w:autoSpaceDN/>
        <w:spacing w:line="259" w:lineRule="auto"/>
        <w:ind w:left="0" w:firstLine="0"/>
        <w:contextualSpacing/>
        <w:jc w:val="both"/>
        <w:rPr>
          <w:sz w:val="28"/>
          <w:szCs w:val="28"/>
        </w:rPr>
      </w:pPr>
      <w:r w:rsidRPr="00497127">
        <w:rPr>
          <w:sz w:val="28"/>
          <w:szCs w:val="28"/>
        </w:rPr>
        <w:lastRenderedPageBreak/>
        <w:t>На основании выявленных независимых факторов разработана логистическая модель прогнозирования летального исхода, обладающая высокой дискриминативной способностью (</w:t>
      </w:r>
      <w:r w:rsidRPr="00497127">
        <w:rPr>
          <w:sz w:val="28"/>
          <w:szCs w:val="28"/>
          <w:lang w:val="en-US"/>
        </w:rPr>
        <w:t>AUC</w:t>
      </w:r>
      <w:r w:rsidRPr="00497127">
        <w:rPr>
          <w:sz w:val="28"/>
          <w:szCs w:val="28"/>
        </w:rPr>
        <w:t xml:space="preserve"> = 0,92), чувствительностью 87% и специфичностью 83%, позволяющая стратифицировать пациентов на группы высокого и низкого риска.</w:t>
      </w:r>
    </w:p>
    <w:p w:rsidR="00497127" w:rsidRPr="00497127" w:rsidRDefault="00497127" w:rsidP="001763C1">
      <w:pPr>
        <w:widowControl/>
        <w:numPr>
          <w:ilvl w:val="0"/>
          <w:numId w:val="11"/>
        </w:numPr>
        <w:shd w:val="clear" w:color="auto" w:fill="FFFFFF"/>
        <w:tabs>
          <w:tab w:val="left" w:pos="142"/>
          <w:tab w:val="left" w:pos="284"/>
          <w:tab w:val="left" w:pos="993"/>
        </w:tabs>
        <w:autoSpaceDE/>
        <w:autoSpaceDN/>
        <w:spacing w:line="259" w:lineRule="auto"/>
        <w:ind w:left="0" w:firstLine="0"/>
        <w:contextualSpacing/>
        <w:jc w:val="both"/>
        <w:rPr>
          <w:sz w:val="28"/>
          <w:szCs w:val="28"/>
        </w:rPr>
      </w:pPr>
      <w:r w:rsidRPr="00497127">
        <w:rPr>
          <w:sz w:val="28"/>
          <w:szCs w:val="28"/>
        </w:rPr>
        <w:t xml:space="preserve">У пациентов с летальным исходом по сравнению с пациентами со среднетяжёлым течением COVID-19 выявлено статистически значимое нарастание лабораторных маркеров воспаления и коагуляции: уровень С-реактивного белка в динамике был выше в 4,86 раза (112,08 против 23,05 мг/л;             p &lt; 0,001), лактатдегидрогеназы — в 2,02 раза (616,5 против 304,5 </w:t>
      </w:r>
      <w:proofErr w:type="spellStart"/>
      <w:r w:rsidRPr="00497127">
        <w:rPr>
          <w:sz w:val="28"/>
          <w:szCs w:val="28"/>
        </w:rPr>
        <w:t>Ед</w:t>
      </w:r>
      <w:proofErr w:type="spellEnd"/>
      <w:r w:rsidRPr="00497127">
        <w:rPr>
          <w:sz w:val="28"/>
          <w:szCs w:val="28"/>
        </w:rPr>
        <w:t>/л; p &lt; 0,001), D-димера к моменту завершения наблюдения — в 5,17 раза (1451,5 против 281 нг/мл; p &lt; 0,001).</w:t>
      </w:r>
    </w:p>
    <w:p w:rsidR="00497127" w:rsidRPr="00497127" w:rsidRDefault="00497127" w:rsidP="001763C1">
      <w:pPr>
        <w:widowControl/>
        <w:numPr>
          <w:ilvl w:val="0"/>
          <w:numId w:val="11"/>
        </w:numPr>
        <w:shd w:val="clear" w:color="auto" w:fill="FFFFFF"/>
        <w:tabs>
          <w:tab w:val="left" w:pos="142"/>
          <w:tab w:val="left" w:pos="284"/>
          <w:tab w:val="left" w:pos="993"/>
        </w:tabs>
        <w:autoSpaceDE/>
        <w:autoSpaceDN/>
        <w:spacing w:line="259" w:lineRule="auto"/>
        <w:ind w:left="0" w:firstLine="0"/>
        <w:contextualSpacing/>
        <w:jc w:val="both"/>
        <w:rPr>
          <w:sz w:val="28"/>
          <w:szCs w:val="28"/>
        </w:rPr>
      </w:pPr>
      <w:r w:rsidRPr="00497127">
        <w:rPr>
          <w:sz w:val="28"/>
          <w:szCs w:val="28"/>
        </w:rPr>
        <w:t>Фармакоэкономический анализ показал, что при тяжёлом течении COVID-19 у коморбидных пациентов основную долю прямых медицинских затрат формируют госпитальные расходы (85,6% структуры затрат). Включение ремдесивира увеличивает общую стоимость лечения на 14,4% (ΔC = 97 490 ₸ на одного пациента) преимущественно за счёт лекарственного компонента. Показатель относительного риска летального исхода в группе применения ремдесивира (RR = 3,44) отражает различия в исходной тяжести состояния пациентов сравниваемых групп. Полученные данные позволяют количественно оценивать инкрементальные затраты при принятии клинических решений и учитывать их при планировании распределения ресурсов стационара.</w:t>
      </w:r>
    </w:p>
    <w:p w:rsidR="00497127" w:rsidRPr="00497127" w:rsidRDefault="00497127" w:rsidP="001763C1">
      <w:pPr>
        <w:widowControl/>
        <w:numPr>
          <w:ilvl w:val="0"/>
          <w:numId w:val="11"/>
        </w:numPr>
        <w:shd w:val="clear" w:color="auto" w:fill="FFFFFF"/>
        <w:tabs>
          <w:tab w:val="left" w:pos="142"/>
          <w:tab w:val="left" w:pos="284"/>
          <w:tab w:val="left" w:pos="993"/>
        </w:tabs>
        <w:autoSpaceDE/>
        <w:autoSpaceDN/>
        <w:spacing w:line="259" w:lineRule="auto"/>
        <w:ind w:left="0" w:firstLine="0"/>
        <w:contextualSpacing/>
        <w:jc w:val="both"/>
        <w:rPr>
          <w:sz w:val="28"/>
          <w:szCs w:val="28"/>
        </w:rPr>
      </w:pPr>
      <w:r w:rsidRPr="00497127">
        <w:rPr>
          <w:sz w:val="28"/>
          <w:szCs w:val="28"/>
        </w:rPr>
        <w:t xml:space="preserve">Разработанный алгоритм динамического амбулаторного наблюдения за реконвалесцентами COVID-19 с коморбидной патологией основан на объективных прогностических критериях и обеспечивает раннюю стратификацию пациентов высокого риска уже на 3–5 сутки после выписки из стационара. Алгоритм оптимизирует маршрутизацию пациентов в зависимости от клинико-лабораторной динамики, стандартизирует процесс принятия клинических решений и позволяет до развития выраженной декомпенсации обоснованно определять необходимость повторного обследования, усиления терапии или госпитализации.   </w:t>
      </w:r>
    </w:p>
    <w:p w:rsidR="00497127" w:rsidRPr="00497127" w:rsidRDefault="00497127" w:rsidP="001763C1">
      <w:pPr>
        <w:widowControl/>
        <w:shd w:val="clear" w:color="auto" w:fill="FFFFFF"/>
        <w:tabs>
          <w:tab w:val="left" w:pos="709"/>
          <w:tab w:val="left" w:pos="993"/>
        </w:tabs>
        <w:autoSpaceDE/>
        <w:autoSpaceDN/>
        <w:jc w:val="both"/>
        <w:rPr>
          <w:sz w:val="28"/>
          <w:szCs w:val="28"/>
        </w:rPr>
      </w:pPr>
      <w:r w:rsidRPr="00497127">
        <w:rPr>
          <w:sz w:val="28"/>
          <w:szCs w:val="28"/>
        </w:rPr>
        <w:tab/>
        <w:t>Этическая сторона исследования была одобрена Локальной биоэтической комиссией при Медицинском университете Караганды (протокол № 3 от 07 ноября 2022 года).</w:t>
      </w:r>
    </w:p>
    <w:p w:rsidR="00497127" w:rsidRPr="00497127" w:rsidRDefault="00497127" w:rsidP="001763C1">
      <w:pPr>
        <w:widowControl/>
        <w:tabs>
          <w:tab w:val="left" w:pos="426"/>
        </w:tabs>
        <w:autoSpaceDE/>
        <w:autoSpaceDN/>
        <w:ind w:firstLine="567"/>
        <w:jc w:val="both"/>
        <w:rPr>
          <w:sz w:val="28"/>
          <w:szCs w:val="28"/>
        </w:rPr>
      </w:pPr>
      <w:r w:rsidRPr="00497127">
        <w:rPr>
          <w:sz w:val="28"/>
          <w:szCs w:val="28"/>
        </w:rPr>
        <w:t xml:space="preserve">Тема диссертации утверждена на заседании Сената НАО «Карагандинский медицинский университет» Протокол №4 от 24.11.2022 года.  </w:t>
      </w:r>
    </w:p>
    <w:p w:rsidR="00497127" w:rsidRPr="00497127" w:rsidRDefault="00497127" w:rsidP="001763C1">
      <w:pPr>
        <w:widowControl/>
        <w:tabs>
          <w:tab w:val="left" w:pos="426"/>
        </w:tabs>
        <w:autoSpaceDE/>
        <w:autoSpaceDN/>
        <w:ind w:firstLine="567"/>
        <w:jc w:val="both"/>
        <w:rPr>
          <w:sz w:val="28"/>
          <w:szCs w:val="28"/>
        </w:rPr>
      </w:pPr>
      <w:r w:rsidRPr="00497127">
        <w:rPr>
          <w:sz w:val="28"/>
          <w:szCs w:val="28"/>
        </w:rPr>
        <w:t>Апробация диссертационного исследования состоялась на заседании кафедры инфекционных болезней и фтизиатрии 27.06.2025 года (протокол № 6).</w:t>
      </w:r>
      <w:r w:rsidRPr="00497127">
        <w:rPr>
          <w:b/>
          <w:sz w:val="28"/>
          <w:szCs w:val="28"/>
        </w:rPr>
        <w:t xml:space="preserve"> </w:t>
      </w:r>
    </w:p>
    <w:p w:rsidR="00391E65" w:rsidRDefault="00391E65" w:rsidP="001763C1">
      <w:pPr>
        <w:widowControl/>
        <w:tabs>
          <w:tab w:val="left" w:pos="426"/>
        </w:tabs>
        <w:autoSpaceDE/>
        <w:autoSpaceDN/>
        <w:ind w:firstLine="567"/>
        <w:jc w:val="both"/>
        <w:rPr>
          <w:b/>
          <w:sz w:val="28"/>
          <w:szCs w:val="28"/>
        </w:rPr>
      </w:pPr>
    </w:p>
    <w:p w:rsidR="00391E65" w:rsidRDefault="00391E65" w:rsidP="001763C1">
      <w:pPr>
        <w:widowControl/>
        <w:tabs>
          <w:tab w:val="left" w:pos="426"/>
        </w:tabs>
        <w:autoSpaceDE/>
        <w:autoSpaceDN/>
        <w:ind w:firstLine="567"/>
        <w:jc w:val="both"/>
        <w:rPr>
          <w:b/>
          <w:sz w:val="28"/>
          <w:szCs w:val="28"/>
        </w:rPr>
      </w:pPr>
    </w:p>
    <w:p w:rsidR="00391E65" w:rsidRDefault="00391E65" w:rsidP="001763C1">
      <w:pPr>
        <w:widowControl/>
        <w:tabs>
          <w:tab w:val="left" w:pos="426"/>
        </w:tabs>
        <w:autoSpaceDE/>
        <w:autoSpaceDN/>
        <w:ind w:firstLine="567"/>
        <w:jc w:val="both"/>
        <w:rPr>
          <w:b/>
          <w:sz w:val="28"/>
          <w:szCs w:val="28"/>
        </w:rPr>
      </w:pPr>
    </w:p>
    <w:p w:rsidR="00497127" w:rsidRPr="00497127" w:rsidRDefault="00497127" w:rsidP="001763C1">
      <w:pPr>
        <w:widowControl/>
        <w:tabs>
          <w:tab w:val="left" w:pos="426"/>
        </w:tabs>
        <w:autoSpaceDE/>
        <w:autoSpaceDN/>
        <w:ind w:firstLine="567"/>
        <w:jc w:val="both"/>
        <w:rPr>
          <w:b/>
          <w:sz w:val="28"/>
          <w:szCs w:val="28"/>
        </w:rPr>
      </w:pPr>
      <w:r w:rsidRPr="00497127">
        <w:rPr>
          <w:b/>
          <w:sz w:val="28"/>
          <w:szCs w:val="28"/>
        </w:rPr>
        <w:lastRenderedPageBreak/>
        <w:t>Материалы диссертационной работы представлены:</w:t>
      </w:r>
    </w:p>
    <w:p w:rsidR="00497127" w:rsidRPr="00497127" w:rsidRDefault="00497127" w:rsidP="001763C1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spacing w:line="259" w:lineRule="auto"/>
        <w:ind w:left="0" w:firstLine="567"/>
        <w:contextualSpacing/>
        <w:jc w:val="both"/>
        <w:rPr>
          <w:sz w:val="28"/>
          <w:szCs w:val="28"/>
        </w:rPr>
      </w:pPr>
      <w:r w:rsidRPr="00497127">
        <w:rPr>
          <w:sz w:val="28"/>
          <w:szCs w:val="28"/>
        </w:rPr>
        <w:t>II Международная научно-практическая конференция «Актуальные инфекции Республики Казахстан и Центральной Азии», г. Шымкент (16-17 июня 2023 года)</w:t>
      </w:r>
    </w:p>
    <w:p w:rsidR="00497127" w:rsidRPr="00497127" w:rsidRDefault="00497127" w:rsidP="001763C1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spacing w:line="259" w:lineRule="auto"/>
        <w:ind w:left="0" w:firstLine="567"/>
        <w:contextualSpacing/>
        <w:jc w:val="both"/>
        <w:rPr>
          <w:sz w:val="28"/>
          <w:szCs w:val="28"/>
        </w:rPr>
      </w:pPr>
      <w:r w:rsidRPr="00497127">
        <w:rPr>
          <w:sz w:val="28"/>
          <w:szCs w:val="28"/>
        </w:rPr>
        <w:t>II Казахстанский Конгрессе инфекционистов с Международным участием. «Инфекционные болезни в условиях глобализации: Вызовы и решения», г. Астана (5-6 октября 2023 года)</w:t>
      </w:r>
    </w:p>
    <w:p w:rsidR="00497127" w:rsidRPr="00497127" w:rsidRDefault="00497127" w:rsidP="001763C1">
      <w:pPr>
        <w:widowControl/>
        <w:numPr>
          <w:ilvl w:val="0"/>
          <w:numId w:val="6"/>
        </w:numPr>
        <w:tabs>
          <w:tab w:val="left" w:pos="993"/>
        </w:tabs>
        <w:autoSpaceDE/>
        <w:autoSpaceDN/>
        <w:spacing w:line="259" w:lineRule="auto"/>
        <w:ind w:left="0" w:firstLine="567"/>
        <w:contextualSpacing/>
        <w:jc w:val="both"/>
        <w:rPr>
          <w:sz w:val="28"/>
          <w:szCs w:val="28"/>
        </w:rPr>
      </w:pPr>
      <w:r w:rsidRPr="00497127">
        <w:rPr>
          <w:sz w:val="28"/>
          <w:szCs w:val="28"/>
        </w:rPr>
        <w:t>Международная научно-практическая конференция «Инфекционные болезни и антимикробные средства», г. Бухара (19-20 октября 2023 года)</w:t>
      </w:r>
    </w:p>
    <w:p w:rsidR="007708BE" w:rsidRDefault="00497127" w:rsidP="007708BE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497127">
        <w:rPr>
          <w:b/>
          <w:sz w:val="28"/>
          <w:szCs w:val="28"/>
        </w:rPr>
        <w:t xml:space="preserve">Личный вклад автора. </w:t>
      </w:r>
      <w:r w:rsidRPr="00497127">
        <w:rPr>
          <w:sz w:val="28"/>
          <w:szCs w:val="28"/>
        </w:rPr>
        <w:t>На всех этапах выполнения диссертационного исследования автор принимал активное участие, начиная с анализа отечественной и зарубежной литературы и заканчивая интерпретацией полученных результатов. Автором были разработаны цель и задачи исследования, сформирован дизайн, а также самостоятельно осуществлён отбор медицинских карт пациентов из архива стационара (</w:t>
      </w:r>
      <w:r w:rsidRPr="00497127">
        <w:rPr>
          <w:sz w:val="28"/>
          <w:szCs w:val="28"/>
          <w:lang w:val="en-US"/>
        </w:rPr>
        <w:t>Damumed</w:t>
      </w:r>
      <w:r w:rsidRPr="00497127">
        <w:rPr>
          <w:sz w:val="28"/>
          <w:szCs w:val="28"/>
        </w:rPr>
        <w:t xml:space="preserve">). Лично были созданы электронные базы данных, проведена предварительная подготовка информации для статистической обработки, выполнена интерпретация результатов. </w:t>
      </w:r>
      <w:r w:rsidR="007708BE" w:rsidRPr="007708BE">
        <w:rPr>
          <w:sz w:val="28"/>
          <w:szCs w:val="28"/>
        </w:rPr>
        <w:t xml:space="preserve">Кроме того, автор принимал участие в написании и оформлении научных публикаций. </w:t>
      </w:r>
    </w:p>
    <w:p w:rsidR="00497127" w:rsidRPr="00497127" w:rsidRDefault="00497127" w:rsidP="007708BE">
      <w:pPr>
        <w:widowControl/>
        <w:tabs>
          <w:tab w:val="left" w:pos="426"/>
        </w:tabs>
        <w:autoSpaceDE/>
        <w:autoSpaceDN/>
        <w:ind w:firstLine="567"/>
        <w:jc w:val="both"/>
        <w:rPr>
          <w:b/>
          <w:sz w:val="28"/>
          <w:szCs w:val="28"/>
        </w:rPr>
      </w:pPr>
      <w:r w:rsidRPr="00497127">
        <w:rPr>
          <w:b/>
          <w:sz w:val="28"/>
          <w:szCs w:val="28"/>
        </w:rPr>
        <w:t>Внедрение результатов исследования в практику.</w:t>
      </w:r>
    </w:p>
    <w:p w:rsidR="00497127" w:rsidRPr="00497127" w:rsidRDefault="00497127" w:rsidP="001763C1">
      <w:pPr>
        <w:widowControl/>
        <w:tabs>
          <w:tab w:val="left" w:pos="426"/>
        </w:tabs>
        <w:autoSpaceDE/>
        <w:autoSpaceDN/>
        <w:ind w:firstLine="567"/>
        <w:jc w:val="both"/>
        <w:rPr>
          <w:sz w:val="28"/>
          <w:szCs w:val="28"/>
        </w:rPr>
      </w:pPr>
      <w:r w:rsidRPr="00497127">
        <w:rPr>
          <w:sz w:val="28"/>
          <w:szCs w:val="28"/>
        </w:rPr>
        <w:t>Результаты настоящего диссертационного исследования внедрены в практическое здравоохранение Карагандинской области:</w:t>
      </w:r>
    </w:p>
    <w:p w:rsidR="00497127" w:rsidRPr="00497127" w:rsidRDefault="00497127" w:rsidP="001763C1">
      <w:pPr>
        <w:widowControl/>
        <w:numPr>
          <w:ilvl w:val="0"/>
          <w:numId w:val="7"/>
        </w:numPr>
        <w:tabs>
          <w:tab w:val="left" w:pos="0"/>
          <w:tab w:val="num" w:pos="993"/>
        </w:tabs>
        <w:autoSpaceDE/>
        <w:autoSpaceDN/>
        <w:spacing w:line="259" w:lineRule="auto"/>
        <w:ind w:left="0" w:firstLine="567"/>
        <w:contextualSpacing/>
        <w:jc w:val="both"/>
        <w:rPr>
          <w:sz w:val="28"/>
          <w:szCs w:val="28"/>
        </w:rPr>
      </w:pPr>
      <w:r w:rsidRPr="00497127">
        <w:rPr>
          <w:bCs/>
          <w:sz w:val="28"/>
          <w:szCs w:val="28"/>
        </w:rPr>
        <w:t>Инфекционный центр КГП «Областная клиническая больница»</w:t>
      </w:r>
      <w:r w:rsidRPr="00497127">
        <w:rPr>
          <w:sz w:val="28"/>
          <w:szCs w:val="28"/>
        </w:rPr>
        <w:t xml:space="preserve"> Управления здравоохранения Карагандинской области;</w:t>
      </w:r>
    </w:p>
    <w:p w:rsidR="00497127" w:rsidRPr="00497127" w:rsidRDefault="00497127" w:rsidP="001763C1">
      <w:pPr>
        <w:widowControl/>
        <w:numPr>
          <w:ilvl w:val="0"/>
          <w:numId w:val="7"/>
        </w:numPr>
        <w:tabs>
          <w:tab w:val="left" w:pos="0"/>
          <w:tab w:val="num" w:pos="993"/>
        </w:tabs>
        <w:autoSpaceDE/>
        <w:autoSpaceDN/>
        <w:spacing w:line="259" w:lineRule="auto"/>
        <w:ind w:left="0" w:firstLine="567"/>
        <w:contextualSpacing/>
        <w:jc w:val="both"/>
        <w:rPr>
          <w:sz w:val="28"/>
          <w:szCs w:val="28"/>
        </w:rPr>
      </w:pPr>
      <w:r w:rsidRPr="00497127">
        <w:rPr>
          <w:sz w:val="28"/>
          <w:szCs w:val="28"/>
        </w:rPr>
        <w:t>Учреждения первичной медико-санитарной помощи, осуществляющие наблюдение за пациентами после перенес</w:t>
      </w:r>
      <w:r w:rsidR="00391E65">
        <w:rPr>
          <w:sz w:val="28"/>
          <w:szCs w:val="28"/>
        </w:rPr>
        <w:t>ё</w:t>
      </w:r>
      <w:r w:rsidRPr="00497127">
        <w:rPr>
          <w:sz w:val="28"/>
          <w:szCs w:val="28"/>
        </w:rPr>
        <w:t>нной коронавирусной инфекцией.</w:t>
      </w:r>
    </w:p>
    <w:p w:rsidR="00497127" w:rsidRPr="00497127" w:rsidRDefault="00497127" w:rsidP="001763C1">
      <w:pPr>
        <w:widowControl/>
        <w:tabs>
          <w:tab w:val="left" w:pos="426"/>
        </w:tabs>
        <w:autoSpaceDE/>
        <w:autoSpaceDN/>
        <w:ind w:firstLine="567"/>
        <w:jc w:val="both"/>
        <w:rPr>
          <w:sz w:val="28"/>
          <w:szCs w:val="28"/>
        </w:rPr>
      </w:pPr>
      <w:r w:rsidRPr="00497127">
        <w:rPr>
          <w:sz w:val="28"/>
          <w:szCs w:val="28"/>
        </w:rPr>
        <w:t>На основе результатов исследования:</w:t>
      </w:r>
    </w:p>
    <w:p w:rsidR="00497127" w:rsidRPr="00497127" w:rsidRDefault="00497127" w:rsidP="001763C1">
      <w:pPr>
        <w:widowControl/>
        <w:numPr>
          <w:ilvl w:val="0"/>
          <w:numId w:val="8"/>
        </w:numPr>
        <w:tabs>
          <w:tab w:val="left" w:pos="993"/>
        </w:tabs>
        <w:autoSpaceDE/>
        <w:autoSpaceDN/>
        <w:spacing w:line="259" w:lineRule="auto"/>
        <w:ind w:left="0" w:firstLine="567"/>
        <w:contextualSpacing/>
        <w:jc w:val="both"/>
        <w:rPr>
          <w:rFonts w:eastAsia="Calibri"/>
          <w:sz w:val="28"/>
          <w:szCs w:val="28"/>
        </w:rPr>
      </w:pPr>
      <w:r w:rsidRPr="00497127">
        <w:rPr>
          <w:rFonts w:eastAsia="Calibri"/>
          <w:bCs/>
          <w:sz w:val="28"/>
          <w:szCs w:val="28"/>
        </w:rPr>
        <w:t xml:space="preserve">Разработанная прогностическая модель риска летального исхода у госпитализированных пациентов с </w:t>
      </w:r>
      <w:r w:rsidRPr="00497127">
        <w:rPr>
          <w:rFonts w:eastAsia="Calibri"/>
          <w:bCs/>
          <w:sz w:val="28"/>
          <w:szCs w:val="28"/>
          <w:lang w:val="en-US"/>
        </w:rPr>
        <w:t>COVID</w:t>
      </w:r>
      <w:r w:rsidRPr="00497127">
        <w:rPr>
          <w:rFonts w:eastAsia="Calibri"/>
          <w:bCs/>
          <w:sz w:val="28"/>
          <w:szCs w:val="28"/>
        </w:rPr>
        <w:t>-19 используется для объективной стратификации риска и обоснования перевода пациентов в отделение интенсивной терапии при вероятности неблагоприятного исхода, обеспечивая стандартизированный подход к принятию клинических решений</w:t>
      </w:r>
      <w:r w:rsidRPr="00497127">
        <w:rPr>
          <w:rFonts w:eastAsia="Calibri"/>
          <w:sz w:val="28"/>
          <w:szCs w:val="28"/>
        </w:rPr>
        <w:t>.</w:t>
      </w:r>
    </w:p>
    <w:p w:rsidR="00497127" w:rsidRPr="00497127" w:rsidRDefault="00497127" w:rsidP="001763C1">
      <w:pPr>
        <w:widowControl/>
        <w:numPr>
          <w:ilvl w:val="0"/>
          <w:numId w:val="8"/>
        </w:numPr>
        <w:tabs>
          <w:tab w:val="left" w:pos="993"/>
        </w:tabs>
        <w:autoSpaceDE/>
        <w:autoSpaceDN/>
        <w:spacing w:line="259" w:lineRule="auto"/>
        <w:ind w:left="0" w:firstLine="567"/>
        <w:contextualSpacing/>
        <w:jc w:val="both"/>
        <w:rPr>
          <w:sz w:val="28"/>
          <w:szCs w:val="28"/>
        </w:rPr>
      </w:pPr>
      <w:r w:rsidRPr="00497127">
        <w:rPr>
          <w:bCs/>
          <w:sz w:val="28"/>
          <w:szCs w:val="28"/>
        </w:rPr>
        <w:t>Модель динамического амбулаторного наблюдения за реконвалесцентами</w:t>
      </w:r>
      <w:r w:rsidRPr="00497127">
        <w:rPr>
          <w:sz w:val="28"/>
          <w:szCs w:val="28"/>
        </w:rPr>
        <w:t xml:space="preserve"> интегрирована в практику ведения пациентов в условиях ПМСП, после выписки пациентов, что способствует раннему выявлению признаков дестабилизации состояния и снижению частоты повторных госпитализаций.</w:t>
      </w:r>
    </w:p>
    <w:p w:rsidR="00497127" w:rsidRPr="00497127" w:rsidRDefault="00497127" w:rsidP="001763C1">
      <w:pPr>
        <w:widowControl/>
        <w:tabs>
          <w:tab w:val="left" w:pos="426"/>
        </w:tabs>
        <w:autoSpaceDE/>
        <w:autoSpaceDN/>
        <w:ind w:firstLine="567"/>
        <w:jc w:val="both"/>
        <w:rPr>
          <w:sz w:val="28"/>
          <w:szCs w:val="28"/>
        </w:rPr>
      </w:pPr>
      <w:r w:rsidRPr="00497127">
        <w:rPr>
          <w:sz w:val="28"/>
          <w:szCs w:val="28"/>
        </w:rPr>
        <w:t xml:space="preserve">Факт применения подтверждён </w:t>
      </w:r>
      <w:r w:rsidRPr="00497127">
        <w:rPr>
          <w:bCs/>
          <w:sz w:val="28"/>
          <w:szCs w:val="28"/>
        </w:rPr>
        <w:t>актами внедрения</w:t>
      </w:r>
      <w:r w:rsidRPr="00497127">
        <w:rPr>
          <w:sz w:val="28"/>
          <w:szCs w:val="28"/>
        </w:rPr>
        <w:t>, утверждёнными руководителями медицинских организаций.</w:t>
      </w:r>
    </w:p>
    <w:p w:rsidR="00497127" w:rsidRPr="00497127" w:rsidRDefault="00497127" w:rsidP="001763C1">
      <w:pPr>
        <w:widowControl/>
        <w:tabs>
          <w:tab w:val="left" w:pos="426"/>
        </w:tabs>
        <w:autoSpaceDE/>
        <w:autoSpaceDN/>
        <w:ind w:firstLine="567"/>
        <w:rPr>
          <w:sz w:val="28"/>
          <w:szCs w:val="28"/>
        </w:rPr>
      </w:pPr>
      <w:r w:rsidRPr="00497127">
        <w:rPr>
          <w:b/>
          <w:sz w:val="28"/>
          <w:szCs w:val="28"/>
        </w:rPr>
        <w:t>Публикации по теме диссертации</w:t>
      </w:r>
      <w:r w:rsidRPr="00497127">
        <w:rPr>
          <w:sz w:val="28"/>
          <w:szCs w:val="28"/>
        </w:rPr>
        <w:t xml:space="preserve">. </w:t>
      </w:r>
    </w:p>
    <w:p w:rsidR="00497127" w:rsidRDefault="00497127" w:rsidP="001763C1">
      <w:pPr>
        <w:widowControl/>
        <w:tabs>
          <w:tab w:val="left" w:pos="426"/>
        </w:tabs>
        <w:autoSpaceDE/>
        <w:autoSpaceDN/>
        <w:ind w:firstLine="567"/>
        <w:jc w:val="both"/>
        <w:rPr>
          <w:sz w:val="28"/>
          <w:szCs w:val="28"/>
        </w:rPr>
      </w:pPr>
      <w:r w:rsidRPr="00497127">
        <w:rPr>
          <w:sz w:val="28"/>
          <w:szCs w:val="28"/>
        </w:rPr>
        <w:t xml:space="preserve">По материалам диссертационного исследования опубликовано пять научных работ, в том числе: две статьи в научном журнале, входящем в международную базу данных </w:t>
      </w:r>
      <w:r w:rsidRPr="00497127">
        <w:rPr>
          <w:sz w:val="28"/>
          <w:szCs w:val="28"/>
          <w:lang w:val="en-US"/>
        </w:rPr>
        <w:t>Scopus</w:t>
      </w:r>
      <w:r w:rsidRPr="00497127">
        <w:rPr>
          <w:sz w:val="28"/>
          <w:szCs w:val="28"/>
        </w:rPr>
        <w:t xml:space="preserve"> (</w:t>
      </w:r>
      <w:r w:rsidRPr="00497127">
        <w:rPr>
          <w:sz w:val="28"/>
          <w:szCs w:val="28"/>
          <w:lang w:val="en-US"/>
        </w:rPr>
        <w:t>Q</w:t>
      </w:r>
      <w:r w:rsidRPr="00497127">
        <w:rPr>
          <w:sz w:val="28"/>
          <w:szCs w:val="28"/>
        </w:rPr>
        <w:t xml:space="preserve">3), три статьи в научных изданиях, </w:t>
      </w:r>
      <w:r w:rsidRPr="00497127">
        <w:rPr>
          <w:sz w:val="28"/>
          <w:szCs w:val="28"/>
        </w:rPr>
        <w:lastRenderedPageBreak/>
        <w:t>рекомендованных Комитетом по качеству в сфере образования и науки Министерства образования и науки Республики Казахстан.</w:t>
      </w:r>
    </w:p>
    <w:p w:rsidR="0074583B" w:rsidRPr="00497127" w:rsidRDefault="0074583B" w:rsidP="001763C1">
      <w:pPr>
        <w:widowControl/>
        <w:tabs>
          <w:tab w:val="left" w:pos="426"/>
        </w:tabs>
        <w:autoSpaceDE/>
        <w:autoSpaceDN/>
        <w:ind w:firstLine="567"/>
        <w:jc w:val="both"/>
        <w:rPr>
          <w:sz w:val="28"/>
          <w:szCs w:val="28"/>
        </w:rPr>
      </w:pPr>
    </w:p>
    <w:p w:rsidR="00E20649" w:rsidRDefault="00E20649" w:rsidP="001763C1">
      <w:pPr>
        <w:pStyle w:val="a3"/>
        <w:ind w:left="0"/>
        <w:jc w:val="left"/>
      </w:pPr>
    </w:p>
    <w:p w:rsidR="00E20649" w:rsidRDefault="00CD34C8" w:rsidP="001763C1">
      <w:pPr>
        <w:pStyle w:val="1"/>
        <w:jc w:val="both"/>
        <w:rPr>
          <w:spacing w:val="-2"/>
        </w:rPr>
      </w:pPr>
      <w:r>
        <w:t>Дизайн</w:t>
      </w:r>
      <w:r>
        <w:rPr>
          <w:spacing w:val="-8"/>
        </w:rPr>
        <w:t xml:space="preserve"> </w:t>
      </w:r>
      <w:r>
        <w:t>исследования,</w:t>
      </w:r>
      <w:r>
        <w:rPr>
          <w:spacing w:val="-8"/>
        </w:rPr>
        <w:t xml:space="preserve"> </w:t>
      </w:r>
      <w:r>
        <w:t>материалы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методы</w:t>
      </w:r>
      <w:r>
        <w:rPr>
          <w:spacing w:val="-5"/>
        </w:rPr>
        <w:t xml:space="preserve"> </w:t>
      </w:r>
      <w:r>
        <w:rPr>
          <w:spacing w:val="-2"/>
        </w:rPr>
        <w:t>исследования</w:t>
      </w:r>
    </w:p>
    <w:p w:rsidR="00497127" w:rsidRDefault="00497127" w:rsidP="001763C1">
      <w:pPr>
        <w:pStyle w:val="1"/>
        <w:jc w:val="both"/>
      </w:pPr>
    </w:p>
    <w:p w:rsidR="00A15DE3" w:rsidRPr="00A15DE3" w:rsidRDefault="00487FAF" w:rsidP="00A15DE3">
      <w:pPr>
        <w:widowControl/>
        <w:tabs>
          <w:tab w:val="left" w:pos="851"/>
        </w:tabs>
        <w:autoSpaceDE/>
        <w:autoSpaceDN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15DE3" w:rsidRPr="00A15DE3">
        <w:rPr>
          <w:sz w:val="28"/>
          <w:szCs w:val="28"/>
        </w:rPr>
        <w:t>Настоящее исследование выполнено на базе Инфекционного центра КГП «Областная клиническая больница» Управления здравоохранения Карагандинской области и включало данные пациентов, госпитализированных с подтверждённым диагнозом COVID-19 в период с января 2021 года по февраль 2022 года.</w:t>
      </w:r>
    </w:p>
    <w:p w:rsidR="00A15DE3" w:rsidRPr="00A15DE3" w:rsidRDefault="00A15DE3" w:rsidP="00A15DE3">
      <w:pPr>
        <w:widowControl/>
        <w:tabs>
          <w:tab w:val="left" w:pos="851"/>
        </w:tabs>
        <w:autoSpaceDE/>
        <w:autoSpaceDN/>
        <w:jc w:val="both"/>
        <w:rPr>
          <w:sz w:val="28"/>
          <w:szCs w:val="28"/>
        </w:rPr>
      </w:pPr>
      <w:r w:rsidRPr="00A15DE3">
        <w:rPr>
          <w:sz w:val="28"/>
          <w:szCs w:val="28"/>
        </w:rPr>
        <w:tab/>
        <w:t>Исследование имело ретроспективный одноцентровый обсервационный сравнительный дизайн с использованием методов многофакторного статистического анализа.</w:t>
      </w:r>
      <w:r w:rsidRPr="00A15DE3">
        <w:rPr>
          <w:sz w:val="28"/>
          <w:szCs w:val="28"/>
        </w:rPr>
        <w:tab/>
      </w:r>
    </w:p>
    <w:p w:rsidR="00A15DE3" w:rsidRPr="00A15DE3" w:rsidRDefault="00A15DE3" w:rsidP="00A15DE3">
      <w:pPr>
        <w:widowControl/>
        <w:tabs>
          <w:tab w:val="left" w:pos="851"/>
        </w:tabs>
        <w:autoSpaceDE/>
        <w:autoSpaceDN/>
        <w:jc w:val="both"/>
        <w:rPr>
          <w:sz w:val="28"/>
          <w:szCs w:val="28"/>
        </w:rPr>
      </w:pPr>
      <w:r w:rsidRPr="00A15DE3">
        <w:rPr>
          <w:sz w:val="28"/>
          <w:szCs w:val="28"/>
        </w:rPr>
        <w:tab/>
        <w:t xml:space="preserve">В рамках работы осуществлялся последовательный анализ клинико-демографических характеристик, лабораторных показателей, особенностей течения заболевания, применяемых схем терапии и клинических исходов.                       В выборку включены госпитализированные пациенты с лабораторно подтверждённой новой коронавирусной инфекцией (SARS-CoV-2), диагностированной методом полимеразной цепной реакции (ПЦР), при наличии сопутствующей хронической патологии. </w:t>
      </w:r>
    </w:p>
    <w:p w:rsidR="00A15DE3" w:rsidRDefault="00A15DE3" w:rsidP="00A15DE3">
      <w:pPr>
        <w:widowControl/>
        <w:tabs>
          <w:tab w:val="left" w:pos="851"/>
        </w:tabs>
        <w:autoSpaceDE/>
        <w:autoSpaceDN/>
        <w:jc w:val="both"/>
        <w:rPr>
          <w:sz w:val="28"/>
          <w:szCs w:val="28"/>
        </w:rPr>
      </w:pPr>
      <w:r w:rsidRPr="00A15DE3">
        <w:rPr>
          <w:sz w:val="28"/>
          <w:szCs w:val="28"/>
        </w:rPr>
        <w:tab/>
        <w:t>Работа выполнялась в соответствии с принципами Хельсинкской декларации и действующими нормативными документами Республики Казахстан</w:t>
      </w:r>
      <w:r w:rsidR="0074583B">
        <w:rPr>
          <w:sz w:val="28"/>
          <w:szCs w:val="28"/>
        </w:rPr>
        <w:t>.</w:t>
      </w:r>
    </w:p>
    <w:p w:rsidR="00497127" w:rsidRPr="00497127" w:rsidRDefault="00497127" w:rsidP="00A15DE3">
      <w:pPr>
        <w:widowControl/>
        <w:tabs>
          <w:tab w:val="left" w:pos="851"/>
        </w:tabs>
        <w:autoSpaceDE/>
        <w:autoSpaceDN/>
        <w:jc w:val="both"/>
        <w:rPr>
          <w:sz w:val="28"/>
          <w:szCs w:val="28"/>
          <w:lang w:eastAsia="ru-RU"/>
        </w:rPr>
      </w:pPr>
      <w:r w:rsidRPr="00497127">
        <w:rPr>
          <w:b/>
          <w:bCs/>
          <w:sz w:val="28"/>
          <w:szCs w:val="28"/>
          <w:lang w:eastAsia="ru-RU"/>
        </w:rPr>
        <w:t>Критерии включения в исследование:</w:t>
      </w:r>
    </w:p>
    <w:p w:rsidR="00497127" w:rsidRPr="00497127" w:rsidRDefault="00497127" w:rsidP="001763C1">
      <w:pPr>
        <w:widowControl/>
        <w:tabs>
          <w:tab w:val="left" w:pos="851"/>
        </w:tabs>
        <w:autoSpaceDE/>
        <w:autoSpaceDN/>
        <w:jc w:val="both"/>
        <w:rPr>
          <w:sz w:val="28"/>
          <w:szCs w:val="28"/>
          <w:lang w:eastAsia="ru-RU"/>
        </w:rPr>
      </w:pPr>
      <w:r w:rsidRPr="00497127">
        <w:rPr>
          <w:sz w:val="28"/>
          <w:szCs w:val="28"/>
          <w:lang w:eastAsia="ru-RU"/>
        </w:rPr>
        <w:t>- подтверждённый диагноз COVID-19;</w:t>
      </w:r>
    </w:p>
    <w:p w:rsidR="00497127" w:rsidRPr="00497127" w:rsidRDefault="00497127" w:rsidP="001763C1">
      <w:pPr>
        <w:widowControl/>
        <w:tabs>
          <w:tab w:val="left" w:pos="851"/>
        </w:tabs>
        <w:autoSpaceDE/>
        <w:autoSpaceDN/>
        <w:jc w:val="both"/>
        <w:rPr>
          <w:sz w:val="28"/>
          <w:szCs w:val="28"/>
          <w:lang w:eastAsia="ru-RU"/>
        </w:rPr>
      </w:pPr>
      <w:r w:rsidRPr="00497127">
        <w:rPr>
          <w:sz w:val="28"/>
          <w:szCs w:val="28"/>
          <w:lang w:eastAsia="ru-RU"/>
        </w:rPr>
        <w:t>- возраст старше 18 лет;</w:t>
      </w:r>
    </w:p>
    <w:p w:rsidR="00497127" w:rsidRPr="00497127" w:rsidRDefault="00497127" w:rsidP="001763C1">
      <w:pPr>
        <w:widowControl/>
        <w:tabs>
          <w:tab w:val="left" w:pos="851"/>
        </w:tabs>
        <w:autoSpaceDE/>
        <w:autoSpaceDN/>
        <w:jc w:val="both"/>
        <w:rPr>
          <w:sz w:val="28"/>
          <w:szCs w:val="28"/>
          <w:lang w:eastAsia="ru-RU"/>
        </w:rPr>
      </w:pPr>
      <w:r w:rsidRPr="00497127">
        <w:rPr>
          <w:sz w:val="28"/>
          <w:szCs w:val="28"/>
          <w:lang w:eastAsia="ru-RU"/>
        </w:rPr>
        <w:t>- наличие одного или более хронических сопутствующих заболеваний;</w:t>
      </w:r>
    </w:p>
    <w:p w:rsidR="00497127" w:rsidRPr="00497127" w:rsidRDefault="00497127" w:rsidP="001763C1">
      <w:pPr>
        <w:widowControl/>
        <w:tabs>
          <w:tab w:val="left" w:pos="851"/>
        </w:tabs>
        <w:autoSpaceDE/>
        <w:autoSpaceDN/>
        <w:jc w:val="both"/>
        <w:rPr>
          <w:sz w:val="28"/>
          <w:szCs w:val="28"/>
          <w:lang w:eastAsia="ru-RU"/>
        </w:rPr>
      </w:pPr>
      <w:r w:rsidRPr="00497127">
        <w:rPr>
          <w:sz w:val="28"/>
          <w:szCs w:val="28"/>
          <w:lang w:eastAsia="ru-RU"/>
        </w:rPr>
        <w:t>- госпитализация в инфекционный стационар;</w:t>
      </w:r>
    </w:p>
    <w:p w:rsidR="00497127" w:rsidRPr="00497127" w:rsidRDefault="00497127" w:rsidP="001763C1">
      <w:pPr>
        <w:widowControl/>
        <w:tabs>
          <w:tab w:val="left" w:pos="851"/>
        </w:tabs>
        <w:autoSpaceDE/>
        <w:autoSpaceDN/>
        <w:jc w:val="both"/>
        <w:rPr>
          <w:sz w:val="28"/>
          <w:szCs w:val="28"/>
          <w:lang w:eastAsia="ru-RU"/>
        </w:rPr>
      </w:pPr>
      <w:r w:rsidRPr="00497127">
        <w:rPr>
          <w:sz w:val="28"/>
          <w:szCs w:val="28"/>
          <w:lang w:eastAsia="ru-RU"/>
        </w:rPr>
        <w:t>- наличие полного объёма клинико-лабораторных данных.</w:t>
      </w:r>
    </w:p>
    <w:p w:rsidR="00497127" w:rsidRPr="00497127" w:rsidRDefault="00497127" w:rsidP="001763C1">
      <w:pPr>
        <w:widowControl/>
        <w:tabs>
          <w:tab w:val="left" w:pos="851"/>
        </w:tabs>
        <w:autoSpaceDE/>
        <w:autoSpaceDN/>
        <w:jc w:val="both"/>
        <w:rPr>
          <w:sz w:val="28"/>
          <w:szCs w:val="28"/>
          <w:lang w:eastAsia="ru-RU"/>
        </w:rPr>
      </w:pPr>
      <w:r w:rsidRPr="00497127">
        <w:rPr>
          <w:b/>
          <w:bCs/>
          <w:sz w:val="28"/>
          <w:szCs w:val="28"/>
          <w:lang w:eastAsia="ru-RU"/>
        </w:rPr>
        <w:t>Критерии исключения:</w:t>
      </w:r>
    </w:p>
    <w:p w:rsidR="00497127" w:rsidRPr="00497127" w:rsidRDefault="00497127" w:rsidP="001763C1">
      <w:pPr>
        <w:widowControl/>
        <w:tabs>
          <w:tab w:val="left" w:pos="851"/>
        </w:tabs>
        <w:autoSpaceDE/>
        <w:autoSpaceDN/>
        <w:jc w:val="both"/>
        <w:rPr>
          <w:sz w:val="28"/>
          <w:szCs w:val="28"/>
          <w:lang w:eastAsia="ru-RU"/>
        </w:rPr>
      </w:pPr>
      <w:r w:rsidRPr="00497127">
        <w:rPr>
          <w:sz w:val="28"/>
          <w:szCs w:val="28"/>
          <w:lang w:eastAsia="ru-RU"/>
        </w:rPr>
        <w:t>- отсутствие подтверждения COVID-19;</w:t>
      </w:r>
    </w:p>
    <w:p w:rsidR="00497127" w:rsidRPr="00497127" w:rsidRDefault="00497127" w:rsidP="001763C1">
      <w:pPr>
        <w:widowControl/>
        <w:tabs>
          <w:tab w:val="left" w:pos="851"/>
        </w:tabs>
        <w:autoSpaceDE/>
        <w:autoSpaceDN/>
        <w:jc w:val="both"/>
        <w:rPr>
          <w:sz w:val="28"/>
          <w:szCs w:val="28"/>
          <w:lang w:eastAsia="ru-RU"/>
        </w:rPr>
      </w:pPr>
      <w:r w:rsidRPr="00497127">
        <w:rPr>
          <w:sz w:val="28"/>
          <w:szCs w:val="28"/>
          <w:lang w:eastAsia="ru-RU"/>
        </w:rPr>
        <w:t>- лёгкое течение заболевания без показаний к госпитализации;</w:t>
      </w:r>
    </w:p>
    <w:p w:rsidR="00497127" w:rsidRPr="00497127" w:rsidRDefault="00497127" w:rsidP="001763C1">
      <w:pPr>
        <w:widowControl/>
        <w:tabs>
          <w:tab w:val="left" w:pos="851"/>
        </w:tabs>
        <w:autoSpaceDE/>
        <w:autoSpaceDN/>
        <w:jc w:val="both"/>
        <w:rPr>
          <w:sz w:val="28"/>
          <w:szCs w:val="28"/>
          <w:lang w:eastAsia="ru-RU"/>
        </w:rPr>
      </w:pPr>
      <w:r w:rsidRPr="00497127">
        <w:rPr>
          <w:sz w:val="28"/>
          <w:szCs w:val="28"/>
          <w:lang w:eastAsia="ru-RU"/>
        </w:rPr>
        <w:t xml:space="preserve">- неполнота медицинской документации; </w:t>
      </w:r>
    </w:p>
    <w:p w:rsidR="00497127" w:rsidRPr="00497127" w:rsidRDefault="00497127" w:rsidP="001763C1">
      <w:pPr>
        <w:widowControl/>
        <w:tabs>
          <w:tab w:val="left" w:pos="851"/>
        </w:tabs>
        <w:autoSpaceDE/>
        <w:autoSpaceDN/>
        <w:jc w:val="both"/>
        <w:rPr>
          <w:sz w:val="28"/>
          <w:szCs w:val="28"/>
          <w:lang w:eastAsia="ru-RU"/>
        </w:rPr>
      </w:pPr>
      <w:r w:rsidRPr="00497127">
        <w:rPr>
          <w:sz w:val="28"/>
          <w:szCs w:val="28"/>
          <w:lang w:eastAsia="ru-RU"/>
        </w:rPr>
        <w:t>- возраст пациентов до 18 лет;</w:t>
      </w:r>
    </w:p>
    <w:p w:rsidR="00497127" w:rsidRPr="00497127" w:rsidRDefault="00497127" w:rsidP="001763C1">
      <w:pPr>
        <w:widowControl/>
        <w:tabs>
          <w:tab w:val="left" w:pos="851"/>
        </w:tabs>
        <w:autoSpaceDE/>
        <w:autoSpaceDN/>
        <w:jc w:val="both"/>
        <w:rPr>
          <w:sz w:val="28"/>
          <w:szCs w:val="28"/>
          <w:lang w:eastAsia="ru-RU"/>
        </w:rPr>
      </w:pPr>
      <w:r w:rsidRPr="00497127">
        <w:rPr>
          <w:sz w:val="28"/>
          <w:szCs w:val="28"/>
          <w:lang w:eastAsia="ru-RU"/>
        </w:rPr>
        <w:t>- беременность на момент госпитализации.</w:t>
      </w:r>
    </w:p>
    <w:p w:rsidR="00497127" w:rsidRDefault="00497127" w:rsidP="001763C1">
      <w:pPr>
        <w:pStyle w:val="a3"/>
        <w:ind w:firstLine="708"/>
      </w:pPr>
      <w:r w:rsidRPr="00497127">
        <w:t xml:space="preserve">Пациенты были распределены на три клинические группы в зависимости от степени тяжести и исхода заболевания: </w:t>
      </w:r>
    </w:p>
    <w:p w:rsidR="00497127" w:rsidRDefault="00497127" w:rsidP="001763C1">
      <w:pPr>
        <w:pStyle w:val="a3"/>
        <w:ind w:hanging="2"/>
      </w:pPr>
      <w:r>
        <w:t xml:space="preserve">- </w:t>
      </w:r>
      <w:r w:rsidRPr="00497127">
        <w:t>среднетяжёлое течение (n = 108)</w:t>
      </w:r>
    </w:p>
    <w:p w:rsidR="00497127" w:rsidRDefault="00497127" w:rsidP="001763C1">
      <w:pPr>
        <w:pStyle w:val="a3"/>
        <w:ind w:hanging="2"/>
      </w:pPr>
      <w:r>
        <w:t xml:space="preserve">- </w:t>
      </w:r>
      <w:r w:rsidRPr="00497127">
        <w:t xml:space="preserve">тяжёлое течение с благоприятным исходом (n = 80) </w:t>
      </w:r>
    </w:p>
    <w:p w:rsidR="00497127" w:rsidRDefault="00497127" w:rsidP="001763C1">
      <w:pPr>
        <w:pStyle w:val="a3"/>
        <w:ind w:hanging="2"/>
      </w:pPr>
      <w:r>
        <w:t xml:space="preserve">- </w:t>
      </w:r>
      <w:r w:rsidRPr="00497127">
        <w:t xml:space="preserve">тяжёлое течение с летальным исходом (n = 48). </w:t>
      </w:r>
    </w:p>
    <w:p w:rsidR="00497127" w:rsidRPr="00497127" w:rsidRDefault="00497127" w:rsidP="001763C1">
      <w:pPr>
        <w:pStyle w:val="a3"/>
        <w:ind w:firstLine="708"/>
      </w:pPr>
      <w:r w:rsidRPr="00497127">
        <w:t xml:space="preserve">Анализ включал демографические характеристики, структуру коморбидной патологии, сроки госпитализации, показатели дыхательной недостаточности (SpO₂, необходимость респираторной поддержки), степень поражения лёгочной ткани по данным КТ, а также динамику ключевых </w:t>
      </w:r>
      <w:r w:rsidRPr="00497127">
        <w:lastRenderedPageBreak/>
        <w:t>лабораторных маркеров воспаления и коагуляции (С-реактивный белок, лактатдегидрогеназа, D-димер, ферритин, показатели лейкоцитарной формулы). Лабораторные параметры оценивались при поступлении, в динамике (4–8-е сутки) и к моменту завершения наблюдения.</w:t>
      </w:r>
    </w:p>
    <w:p w:rsidR="00497127" w:rsidRPr="00497127" w:rsidRDefault="0065322A" w:rsidP="001763C1">
      <w:pPr>
        <w:pStyle w:val="a3"/>
        <w:ind w:firstLine="708"/>
      </w:pPr>
      <w:r w:rsidRPr="0065322A">
        <w:t xml:space="preserve">Статистическая обработка данных проводилась с использованием IBM SPSS Statistics. В связи с ненормальным распределением большинства показателей применялись непараметрические методы (критерий Краскела–Уоллиса, Манна–Уитни), а для категориальных переменных — χ² и точный критерий Фишера. Независимые предикторы летального исхода определялись методом многофакторной логистической регрессии с расчётом OR и 95% ДИ. Прогностическая эффективность модели оценивалась с использованием ROC-анализа (AUC). </w:t>
      </w:r>
      <w:r w:rsidR="00497127" w:rsidRPr="00497127">
        <w:t xml:space="preserve">Внутренняя валидация проводилась методом разделения выборки в соотношении 70/30. Межгрупповые различия оценивались преимущественно непараметрическими методами анализа; уровень статистической значимости принимался равным p </w:t>
      </w:r>
      <w:r w:rsidRPr="00497127">
        <w:t>&lt;0</w:t>
      </w:r>
      <w:r w:rsidR="00497127" w:rsidRPr="00497127">
        <w:t>,05.</w:t>
      </w:r>
    </w:p>
    <w:p w:rsidR="00497127" w:rsidRPr="00497127" w:rsidRDefault="00497127" w:rsidP="001763C1">
      <w:pPr>
        <w:pStyle w:val="a3"/>
        <w:ind w:firstLine="708"/>
      </w:pPr>
      <w:r w:rsidRPr="00497127">
        <w:t>Дополнительно выполнен фармакоэкономический анализ прямых медицинских затрат при лечении тяжёлого COVID-19 у коморбидных пациентов с позиции государственной системы здравоохранения, включавший оценку структуры расходов, расчёт показателей «затраты–эффективность», «затраты–полезность» и инкрементальных затрат при включении ремдесивира в схему терапии.</w:t>
      </w:r>
    </w:p>
    <w:p w:rsidR="00497127" w:rsidRPr="00497127" w:rsidRDefault="00497127" w:rsidP="001763C1">
      <w:pPr>
        <w:pStyle w:val="a3"/>
        <w:ind w:firstLine="708"/>
      </w:pPr>
      <w:r w:rsidRPr="00497127">
        <w:t>Исследование одобрено Локальной биоэтической комиссией, выполнено в соответствии с принципами Хельсинкской декларации, все данные обезличены.</w:t>
      </w:r>
    </w:p>
    <w:p w:rsidR="00E20649" w:rsidRDefault="00CD34C8" w:rsidP="001763C1">
      <w:pPr>
        <w:pStyle w:val="1"/>
        <w:rPr>
          <w:b w:val="0"/>
        </w:rPr>
      </w:pPr>
      <w:r>
        <w:rPr>
          <w:spacing w:val="-2"/>
        </w:rPr>
        <w:t>Результаты</w:t>
      </w:r>
      <w:r>
        <w:rPr>
          <w:b w:val="0"/>
          <w:spacing w:val="-2"/>
        </w:rPr>
        <w:t>.</w:t>
      </w:r>
    </w:p>
    <w:p w:rsidR="0065322A" w:rsidRPr="0065322A" w:rsidRDefault="0065322A" w:rsidP="001763C1">
      <w:pPr>
        <w:pStyle w:val="a3"/>
      </w:pPr>
      <w:r w:rsidRPr="0065322A">
        <w:t>В исследование включены 236 госпитализированных пациентов с подтверждённой инфекцией SARS-CoV-2 и коморбидной патологией. Средний возраст составил 65,7 ± 11,6 года, при этом 44,9% пациентов имели три и более хронических заболевания. Пациенты распределены на три клинические группы: среднетяжёлое течение (n = 108), тяжёлое течение с благоприятным исходом (n = 80) и тяжёлое течение с летальным исходом (n = 48).</w:t>
      </w:r>
    </w:p>
    <w:p w:rsidR="0065322A" w:rsidRPr="0065322A" w:rsidRDefault="0065322A" w:rsidP="001763C1">
      <w:pPr>
        <w:pStyle w:val="a3"/>
      </w:pPr>
      <w:r w:rsidRPr="0065322A">
        <w:t>Установлено, что тяжёлое течение и летальный исход формируются на фоне выраженной активации системного воспаления и коагуляции. В группе летального исхода по сравнению со среднетяжёлым течением выявлено:</w:t>
      </w:r>
    </w:p>
    <w:p w:rsidR="0065322A" w:rsidRPr="0065322A" w:rsidRDefault="0065322A" w:rsidP="001763C1">
      <w:pPr>
        <w:pStyle w:val="a3"/>
        <w:numPr>
          <w:ilvl w:val="0"/>
          <w:numId w:val="12"/>
        </w:numPr>
      </w:pPr>
      <w:r w:rsidRPr="0065322A">
        <w:t xml:space="preserve">повышение С-реактивного белка в динамике в </w:t>
      </w:r>
      <w:r w:rsidRPr="0065322A">
        <w:rPr>
          <w:bCs/>
        </w:rPr>
        <w:t>4,86 раза</w:t>
      </w:r>
      <w:r w:rsidRPr="0065322A">
        <w:t xml:space="preserve"> (112,08 против 23,05 мг/л; p </w:t>
      </w:r>
      <w:r w:rsidR="001763C1" w:rsidRPr="0065322A">
        <w:t>&lt;0,001</w:t>
      </w:r>
      <w:r w:rsidRPr="0065322A">
        <w:t>);</w:t>
      </w:r>
    </w:p>
    <w:p w:rsidR="0065322A" w:rsidRPr="0065322A" w:rsidRDefault="0065322A" w:rsidP="001763C1">
      <w:pPr>
        <w:pStyle w:val="a3"/>
        <w:numPr>
          <w:ilvl w:val="0"/>
          <w:numId w:val="12"/>
        </w:numPr>
      </w:pPr>
      <w:r w:rsidRPr="0065322A">
        <w:t xml:space="preserve">повышение лактатдегидрогеназы в </w:t>
      </w:r>
      <w:r w:rsidRPr="0065322A">
        <w:rPr>
          <w:bCs/>
        </w:rPr>
        <w:t>2,02 раза</w:t>
      </w:r>
      <w:r w:rsidRPr="0065322A">
        <w:t xml:space="preserve"> (616,5 против 304,5 </w:t>
      </w:r>
      <w:proofErr w:type="spellStart"/>
      <w:r w:rsidRPr="0065322A">
        <w:t>Ед</w:t>
      </w:r>
      <w:proofErr w:type="spellEnd"/>
      <w:r w:rsidRPr="0065322A">
        <w:t xml:space="preserve">/л; p </w:t>
      </w:r>
      <w:r w:rsidR="001763C1" w:rsidRPr="0065322A">
        <w:t>&lt;0,001</w:t>
      </w:r>
      <w:r w:rsidRPr="0065322A">
        <w:t>);</w:t>
      </w:r>
    </w:p>
    <w:p w:rsidR="0065322A" w:rsidRPr="0065322A" w:rsidRDefault="0065322A" w:rsidP="001763C1">
      <w:pPr>
        <w:pStyle w:val="a3"/>
        <w:numPr>
          <w:ilvl w:val="0"/>
          <w:numId w:val="12"/>
        </w:numPr>
      </w:pPr>
      <w:r w:rsidRPr="0065322A">
        <w:t xml:space="preserve">увеличение D-димера к моменту исхода в </w:t>
      </w:r>
      <w:r w:rsidRPr="0065322A">
        <w:rPr>
          <w:bCs/>
        </w:rPr>
        <w:t>5,17 раза</w:t>
      </w:r>
      <w:r w:rsidRPr="0065322A">
        <w:t xml:space="preserve"> (1451,5 против 281 нг/мл; p </w:t>
      </w:r>
      <w:r w:rsidR="001763C1" w:rsidRPr="0065322A">
        <w:t>&lt;0,001</w:t>
      </w:r>
      <w:r w:rsidRPr="0065322A">
        <w:t>);</w:t>
      </w:r>
    </w:p>
    <w:p w:rsidR="0065322A" w:rsidRPr="0065322A" w:rsidRDefault="0065322A" w:rsidP="001763C1">
      <w:pPr>
        <w:pStyle w:val="a3"/>
        <w:numPr>
          <w:ilvl w:val="0"/>
          <w:numId w:val="12"/>
        </w:numPr>
      </w:pPr>
      <w:r w:rsidRPr="0065322A">
        <w:t>более выраженная лимфопения при поступлении (11% против 20</w:t>
      </w:r>
      <w:proofErr w:type="gramStart"/>
      <w:r w:rsidRPr="0065322A">
        <w:t xml:space="preserve">%; </w:t>
      </w:r>
      <w:r w:rsidR="001763C1">
        <w:t xml:space="preserve">  </w:t>
      </w:r>
      <w:proofErr w:type="gramEnd"/>
      <w:r w:rsidR="001763C1">
        <w:t xml:space="preserve">                          </w:t>
      </w:r>
      <w:r w:rsidRPr="0065322A">
        <w:t xml:space="preserve">p </w:t>
      </w:r>
      <w:r w:rsidR="001763C1" w:rsidRPr="0065322A">
        <w:t>&lt;0,001</w:t>
      </w:r>
      <w:r w:rsidRPr="0065322A">
        <w:t>).</w:t>
      </w:r>
    </w:p>
    <w:p w:rsidR="0065322A" w:rsidRPr="0065322A" w:rsidRDefault="0065322A" w:rsidP="001763C1">
      <w:pPr>
        <w:pStyle w:val="a3"/>
      </w:pPr>
      <w:r w:rsidRPr="0065322A">
        <w:t>При этом исходные значения маркеров не имели такой прогностической значимости, как их динамическое нарастание.</w:t>
      </w:r>
    </w:p>
    <w:p w:rsidR="0065322A" w:rsidRPr="0065322A" w:rsidRDefault="0065322A" w:rsidP="001763C1">
      <w:pPr>
        <w:pStyle w:val="a3"/>
      </w:pPr>
      <w:r w:rsidRPr="0065322A">
        <w:t xml:space="preserve">Анализ коморбидного фона показал, что наличие ≥3 хронических заболеваний </w:t>
      </w:r>
      <w:r w:rsidRPr="0065322A">
        <w:lastRenderedPageBreak/>
        <w:t xml:space="preserve">выявлено у </w:t>
      </w:r>
      <w:r w:rsidRPr="0065322A">
        <w:rPr>
          <w:bCs/>
        </w:rPr>
        <w:t>60,4%</w:t>
      </w:r>
      <w:r w:rsidRPr="0065322A">
        <w:t xml:space="preserve"> пациентов с летальным исходом (p = 0,032). Ожирение встречалось у 35,4% пациентов III группы против 13% в группе средней тяжести (p = 0,005).</w:t>
      </w:r>
    </w:p>
    <w:p w:rsidR="0065322A" w:rsidRPr="0065322A" w:rsidRDefault="0065322A" w:rsidP="001763C1">
      <w:pPr>
        <w:pStyle w:val="a3"/>
      </w:pPr>
      <w:r w:rsidRPr="0065322A">
        <w:t>По результатам многофакторного логистического анализа независимыми предикторами летального исхода признаны:</w:t>
      </w:r>
    </w:p>
    <w:p w:rsidR="0065322A" w:rsidRPr="0065322A" w:rsidRDefault="0065322A" w:rsidP="001763C1">
      <w:pPr>
        <w:pStyle w:val="a3"/>
        <w:numPr>
          <w:ilvl w:val="0"/>
          <w:numId w:val="13"/>
        </w:numPr>
      </w:pPr>
      <w:r w:rsidRPr="0065322A">
        <w:t>наличие цереброваскулярных заболеваний (OR = 4,40; 95% ДИ 1,12–18,94; p = 0,037);</w:t>
      </w:r>
    </w:p>
    <w:p w:rsidR="0065322A" w:rsidRPr="0065322A" w:rsidRDefault="0065322A" w:rsidP="001763C1">
      <w:pPr>
        <w:pStyle w:val="a3"/>
        <w:numPr>
          <w:ilvl w:val="0"/>
          <w:numId w:val="13"/>
        </w:numPr>
      </w:pPr>
      <w:r w:rsidRPr="0065322A">
        <w:t>динамическое повышение С-реактивного белка (OR = 1,016; p = 0,003);</w:t>
      </w:r>
    </w:p>
    <w:p w:rsidR="0065322A" w:rsidRPr="0065322A" w:rsidRDefault="0065322A" w:rsidP="001763C1">
      <w:pPr>
        <w:pStyle w:val="a3"/>
        <w:numPr>
          <w:ilvl w:val="0"/>
          <w:numId w:val="13"/>
        </w:numPr>
      </w:pPr>
      <w:r w:rsidRPr="0065322A">
        <w:t>динамическое повышение лактатдегидрогеназы (OR = 1,001; p = 0,037).</w:t>
      </w:r>
    </w:p>
    <w:p w:rsidR="0065322A" w:rsidRPr="0065322A" w:rsidRDefault="0065322A" w:rsidP="001763C1">
      <w:pPr>
        <w:pStyle w:val="a3"/>
      </w:pPr>
      <w:r w:rsidRPr="0065322A">
        <w:t xml:space="preserve">На основании выявленных факторов разработана прогностическая модель оценки риска летального исхода с высокой дискриминативной способностью: </w:t>
      </w:r>
      <w:r w:rsidRPr="0065322A">
        <w:rPr>
          <w:bCs/>
        </w:rPr>
        <w:t>AUC = 0,92</w:t>
      </w:r>
      <w:r w:rsidRPr="0065322A">
        <w:t>, чувствительность 87%, специфичность 83% при cut-off 0,43.</w:t>
      </w:r>
    </w:p>
    <w:p w:rsidR="0065322A" w:rsidRPr="0065322A" w:rsidRDefault="0065322A" w:rsidP="001763C1">
      <w:pPr>
        <w:pStyle w:val="a3"/>
        <w:ind w:firstLine="718"/>
      </w:pPr>
      <w:r w:rsidRPr="0065322A">
        <w:t>Анализ терапии показал, что по мере утяжеления состояния частота назначения дексаметазона увеличивалась с 65,7% до 89,6% (p = 0,001), не</w:t>
      </w:r>
      <w:r w:rsidR="001763C1">
        <w:t xml:space="preserve"> </w:t>
      </w:r>
      <w:r w:rsidRPr="0065322A">
        <w:t xml:space="preserve">фракционированного гепарина — с 23,1% до 70,8% (p </w:t>
      </w:r>
      <w:r w:rsidR="001763C1" w:rsidRPr="0065322A">
        <w:t>&lt;0,001</w:t>
      </w:r>
      <w:r w:rsidRPr="0065322A">
        <w:t>), ремдесивира — с 76,9% до 93,8% (p = 0,03). Независимого протективного влияния препаратов на летальность в многофакторной модели не выявлено, что обусловлено назначением терапии по показаниям.</w:t>
      </w:r>
    </w:p>
    <w:p w:rsidR="0065322A" w:rsidRDefault="0065322A" w:rsidP="001763C1">
      <w:pPr>
        <w:pStyle w:val="a3"/>
        <w:ind w:firstLine="718"/>
      </w:pPr>
      <w:r w:rsidRPr="0065322A">
        <w:t xml:space="preserve">Фармакоэкономический анализ показал, что средние прямые затраты составили 675 401 ₸ при базисной терапии и 772 891 ₸ при включении ремдесивира. Инкрементальные затраты (ΔC) составили </w:t>
      </w:r>
      <w:r w:rsidRPr="0065322A">
        <w:rPr>
          <w:bCs/>
        </w:rPr>
        <w:t>97 490 ₸</w:t>
      </w:r>
      <w:r w:rsidRPr="0065322A">
        <w:t xml:space="preserve"> на одного пациента. Показатель «затраты–эффективность» составил 724 821 ₸ на одно клиническое улучшение без ремдесивира и 1 009 852 ₸ при его применении. Стоимость одного QALY составила 263 828 ₸ и 368 995 ₸ соответственно.</w:t>
      </w:r>
    </w:p>
    <w:p w:rsidR="0065322A" w:rsidRPr="0065322A" w:rsidRDefault="0065322A" w:rsidP="001763C1">
      <w:pPr>
        <w:pStyle w:val="a3"/>
      </w:pPr>
      <w:r>
        <w:tab/>
        <w:t xml:space="preserve">  </w:t>
      </w:r>
      <w:r w:rsidRPr="0065322A">
        <w:t>В рамках исследования разработаны и внедрены два взаимосвязанных алгоритмических решения: прогностическая модель оценки риска летального исхода у госпитализированных пациентов и риск-ориентированный алгоритм динамического амбулаторного наблюдения за реконвалесцентами COVID-19 с коморбидной патологией.</w:t>
      </w:r>
    </w:p>
    <w:p w:rsidR="0065322A" w:rsidRPr="0065322A" w:rsidRDefault="0065322A" w:rsidP="001763C1">
      <w:pPr>
        <w:pStyle w:val="a3"/>
        <w:ind w:firstLine="718"/>
      </w:pPr>
      <w:r w:rsidRPr="0065322A">
        <w:t>Прогностическая модель стационарного этапа основана на выявленных независимых клинико-лабораторных предикторах (наличие цереброваскулярных заболеваний, динамическое повышение С-реактивного белка и лактатдегидрогеназы) и позволяет проводить количественную оценку индивидуального риска летального исхода. При пороговом значении вероятности p ≥ 0,43 пациент относится к группе высокого риска и требует усиленного мониторинга, повторной лабораторной оценки в динамике и рассмотрения вопроса о переводе в отделение реанимации и интенсивной терапии. Модель обладает высокой дискриминативной способностью (AUC = 0,92), что обеспечивает её клиническую применимость в условиях инфекционного стационара.</w:t>
      </w:r>
    </w:p>
    <w:p w:rsidR="0065322A" w:rsidRPr="0065322A" w:rsidRDefault="0065322A" w:rsidP="001763C1">
      <w:pPr>
        <w:pStyle w:val="a3"/>
        <w:ind w:firstLine="718"/>
      </w:pPr>
      <w:r w:rsidRPr="0065322A">
        <w:t xml:space="preserve">На амбулаторном этапе разработан риск-ориентированный алгоритм динамического наблюдения, направленный на предупреждение дестабилизации состояния после выписки из стационара. Алгоритм предусматривает первичный контроль в течение 3–5 суток, оценку клинических параметров (жалобы, сатурация кислорода, частота сердечных сокращений, </w:t>
      </w:r>
      <w:r w:rsidRPr="0065322A">
        <w:lastRenderedPageBreak/>
        <w:t>артериальное давление), динамический лабораторный мониторинг (СРБ, ЛДГ, при показаниях — D-димер) и дифференцированную частоту последующих визитов в зависимости от уровня риска.</w:t>
      </w:r>
    </w:p>
    <w:p w:rsidR="0065322A" w:rsidRPr="0065322A" w:rsidRDefault="0065322A" w:rsidP="001763C1">
      <w:pPr>
        <w:pStyle w:val="a3"/>
        <w:ind w:firstLine="718"/>
      </w:pPr>
      <w:r w:rsidRPr="0065322A">
        <w:t>Выделены три уровня риска:</w:t>
      </w:r>
      <w:r w:rsidR="000D4809">
        <w:t xml:space="preserve"> </w:t>
      </w:r>
      <w:r w:rsidRPr="0065322A">
        <w:t>низкий — при клинической стабильности и отсутствии нарастания лабораторных маркеров;</w:t>
      </w:r>
      <w:r w:rsidR="000D4809">
        <w:t xml:space="preserve"> </w:t>
      </w:r>
      <w:r w:rsidRPr="0065322A">
        <w:t>средний — при наличии одного фактора риска или умеренной лабораторной динамики;</w:t>
      </w:r>
      <w:r w:rsidR="000D4809">
        <w:t xml:space="preserve"> </w:t>
      </w:r>
      <w:r w:rsidRPr="0065322A">
        <w:t>высокий — при сочетании двух и более факторов риска либо признаках клинического ухудшения.</w:t>
      </w:r>
    </w:p>
    <w:p w:rsidR="0065322A" w:rsidRPr="0065322A" w:rsidRDefault="0065322A" w:rsidP="001763C1">
      <w:pPr>
        <w:pStyle w:val="a3"/>
        <w:ind w:firstLine="718"/>
      </w:pPr>
      <w:r w:rsidRPr="0065322A">
        <w:t>Для каждой категории определены чёткие критерии маршрутизации, включая необходимость углублённой диагностики, усиления терапии или повторной госпитализации. Алгоритм позволяет стандартизировать процесс принятия клинических решений, обеспечить раннюю стратификацию пациентов группы высокого риска и оптимизировать нагрузку на стационарное звено системы здравоохранения.</w:t>
      </w:r>
    </w:p>
    <w:p w:rsidR="0065322A" w:rsidRPr="0065322A" w:rsidRDefault="0065322A" w:rsidP="001763C1">
      <w:pPr>
        <w:pStyle w:val="a3"/>
        <w:ind w:firstLine="708"/>
      </w:pPr>
      <w:r w:rsidRPr="0065322A">
        <w:t>Разработанные алгоритмы оформлены в виде объектов интеллектуальной собственности и внедрены в практическую деятельность инфекционного стационара и учреждений первичной медико-санитарной помощи, что подтверждено актами внедрения.</w:t>
      </w:r>
    </w:p>
    <w:p w:rsidR="00E20649" w:rsidRDefault="00CD34C8" w:rsidP="001763C1">
      <w:pPr>
        <w:pStyle w:val="1"/>
        <w:spacing w:line="319" w:lineRule="exact"/>
      </w:pPr>
      <w:r>
        <w:rPr>
          <w:spacing w:val="-2"/>
        </w:rPr>
        <w:t>Выводы:</w:t>
      </w:r>
    </w:p>
    <w:p w:rsidR="0065322A" w:rsidRPr="0065322A" w:rsidRDefault="0065322A" w:rsidP="001763C1">
      <w:pPr>
        <w:pStyle w:val="a3"/>
        <w:numPr>
          <w:ilvl w:val="1"/>
          <w:numId w:val="7"/>
        </w:numPr>
        <w:ind w:left="284"/>
        <w:rPr>
          <w:bCs/>
        </w:rPr>
      </w:pPr>
      <w:r w:rsidRPr="0065322A">
        <w:rPr>
          <w:bCs/>
        </w:rPr>
        <w:t xml:space="preserve">Установлено, что у госпитализированных коморбидных пациентов с COVID-19 тяжесть клинического течения достоверно ассоциирована с прогрессирующим нарастанием маркеров системного воспаления, коагуляции и тканевого повреждения. В группе летального исхода по сравнению с пациентами со среднетяжёлым течением заболевания выявлено повышение уровня С-реактивного белка в динамике в 4,86 раза (p </w:t>
      </w:r>
      <w:r w:rsidR="001763C1" w:rsidRPr="0065322A">
        <w:rPr>
          <w:bCs/>
        </w:rPr>
        <w:t>&lt;0,001</w:t>
      </w:r>
      <w:r w:rsidRPr="0065322A">
        <w:rPr>
          <w:bCs/>
        </w:rPr>
        <w:t xml:space="preserve">), лактатдегидрогеназы — в 2,02 раза (p </w:t>
      </w:r>
      <w:r w:rsidR="001763C1" w:rsidRPr="0065322A">
        <w:rPr>
          <w:bCs/>
        </w:rPr>
        <w:t>&lt;0,001</w:t>
      </w:r>
      <w:r w:rsidRPr="0065322A">
        <w:rPr>
          <w:bCs/>
        </w:rPr>
        <w:t xml:space="preserve">), увеличение уровня D-димера к моменту исхода в 5,17 раза (p </w:t>
      </w:r>
      <w:r w:rsidR="001763C1" w:rsidRPr="0065322A">
        <w:rPr>
          <w:bCs/>
        </w:rPr>
        <w:t>&lt;0,001</w:t>
      </w:r>
      <w:r w:rsidRPr="0065322A">
        <w:rPr>
          <w:bCs/>
        </w:rPr>
        <w:t xml:space="preserve">), а также более выраженная лимфопения при поступлении (p </w:t>
      </w:r>
      <w:r w:rsidR="001763C1" w:rsidRPr="0065322A">
        <w:rPr>
          <w:bCs/>
        </w:rPr>
        <w:t>&lt;0,001</w:t>
      </w:r>
      <w:r w:rsidRPr="0065322A">
        <w:rPr>
          <w:bCs/>
        </w:rPr>
        <w:t xml:space="preserve">). </w:t>
      </w:r>
    </w:p>
    <w:p w:rsidR="0065322A" w:rsidRPr="0065322A" w:rsidRDefault="0065322A" w:rsidP="001763C1">
      <w:pPr>
        <w:pStyle w:val="a3"/>
        <w:numPr>
          <w:ilvl w:val="1"/>
          <w:numId w:val="7"/>
        </w:numPr>
        <w:ind w:left="284"/>
        <w:rPr>
          <w:bCs/>
        </w:rPr>
      </w:pPr>
      <w:r w:rsidRPr="0065322A">
        <w:rPr>
          <w:bCs/>
        </w:rPr>
        <w:t xml:space="preserve">Установлено, что неблагоприятный исход COVID-19 у госпитализированных коморбидных пациентов определяется выраженной </w:t>
      </w:r>
      <w:proofErr w:type="spellStart"/>
      <w:r w:rsidR="00A47D23">
        <w:rPr>
          <w:bCs/>
        </w:rPr>
        <w:t>мультиморбидностью</w:t>
      </w:r>
      <w:proofErr w:type="spellEnd"/>
      <w:r w:rsidRPr="0065322A">
        <w:rPr>
          <w:bCs/>
        </w:rPr>
        <w:t xml:space="preserve"> и наличием цереброваскулярной патологии как клинически значимых факторов риска. Наличие трёх и более хронических заболеваний выявлено у 60,4% пациентов с летальным исходом по сравнению с 41,7% и 40,0% при благоприятном течении заболевания (p = 0,032), что свидетельствует о значимом влиянии </w:t>
      </w:r>
      <w:r w:rsidR="00713DF6">
        <w:rPr>
          <w:bCs/>
        </w:rPr>
        <w:t>мультиморбидности</w:t>
      </w:r>
      <w:bookmarkStart w:id="3" w:name="_GoBack"/>
      <w:bookmarkEnd w:id="3"/>
      <w:r w:rsidRPr="0065322A">
        <w:rPr>
          <w:bCs/>
        </w:rPr>
        <w:t xml:space="preserve"> на прогноз. По результатам многофакторного логистического анализа доказано, что независимыми предикторами летального исхода являются наличие цереброваскулярных заболеваний (OR = 4,40; 95% ДИ: 1,12–18,94; p = 0,037), динамическое повышение уровня С-реактивного белка (OR = 1,016; p = 0,003) и динамическое повышение уровня лактатдегидрогеназы (OR = 1,001; p = 0,037). На основании выявленных факторов разработана прогностическая модель с высокой дискриминативной способностью (AUC = 0,92), обеспечивающая чувствительность 87% и специфичность 83%.</w:t>
      </w:r>
    </w:p>
    <w:p w:rsidR="0065322A" w:rsidRPr="0065322A" w:rsidRDefault="0065322A" w:rsidP="001763C1">
      <w:pPr>
        <w:pStyle w:val="a3"/>
        <w:numPr>
          <w:ilvl w:val="1"/>
          <w:numId w:val="7"/>
        </w:numPr>
        <w:ind w:left="284"/>
        <w:rPr>
          <w:bCs/>
        </w:rPr>
      </w:pPr>
      <w:r w:rsidRPr="0065322A">
        <w:rPr>
          <w:bCs/>
        </w:rPr>
        <w:t xml:space="preserve">Выявлено, что по мере утяжеления клинического состояния госпитализированных коморбидных пациентов с COVID-19 статистически </w:t>
      </w:r>
      <w:r w:rsidRPr="0065322A">
        <w:rPr>
          <w:bCs/>
        </w:rPr>
        <w:lastRenderedPageBreak/>
        <w:t xml:space="preserve">значимо возрастает интенсивность этиопатогенетической терапии. Дексаметазон назначался в 1,36 раза чаще у пациентов с летальным исходом по сравнению с группой средней тяжести (89,6% против 65,7%; p = 0,001), </w:t>
      </w:r>
      <w:r w:rsidR="001763C1" w:rsidRPr="0065322A">
        <w:rPr>
          <w:bCs/>
        </w:rPr>
        <w:t>не фракционированный</w:t>
      </w:r>
      <w:r w:rsidRPr="0065322A">
        <w:rPr>
          <w:bCs/>
        </w:rPr>
        <w:t xml:space="preserve"> гепарин применялся в 3,1 раза чаще (70,8% против 23,1%; p &lt;0,001), ремдесивир назначался у 93,8% пациентов с летальным исходом против 76,9% при средней степени тяжести (p = 0,03). Установлено, что эскалация терапии отражала исходную клиническую тяжесть состояния и проводилась по строгим клиническим показаниям. В условиях многофакторного анализа независимого протективного влияния указанных препаратов на риск летального исхода не выявлено.</w:t>
      </w:r>
    </w:p>
    <w:p w:rsidR="0065322A" w:rsidRPr="0065322A" w:rsidRDefault="0065322A" w:rsidP="001763C1">
      <w:pPr>
        <w:pStyle w:val="a3"/>
        <w:numPr>
          <w:ilvl w:val="1"/>
          <w:numId w:val="7"/>
        </w:numPr>
        <w:ind w:left="284"/>
        <w:rPr>
          <w:bCs/>
        </w:rPr>
      </w:pPr>
      <w:r w:rsidRPr="0065322A">
        <w:rPr>
          <w:bCs/>
        </w:rPr>
        <w:t>Установлено, что включение ремдесивира в схему лечения увеличивает прямые медицинские затраты на 14,4%, что соответствует инкрементальным расходам 97 490 ₸ на одного пациента. Показатель «затраты–эффективность» составил 1 009 852 ₸ на одно клиническое улучшение при применении ремдесивира и 724 821 ₸ без его применения. Показатель «затраты–полезность» составил 368 995 ₸ на один QALY при использовании ремдесивира и 263 828 ₸ без его применения. Рассчитанный относительный риск летального исхода в группе применения ремдесивира (RR = 3,44) обусловлен различиями сравниваемых групп по исходной клинической тяжести и не свидетельствует о причинном влиянии терапии на летальность.</w:t>
      </w:r>
    </w:p>
    <w:p w:rsidR="0065322A" w:rsidRPr="0065322A" w:rsidRDefault="0065322A" w:rsidP="001763C1">
      <w:pPr>
        <w:pStyle w:val="a3"/>
        <w:numPr>
          <w:ilvl w:val="1"/>
          <w:numId w:val="7"/>
        </w:numPr>
        <w:ind w:left="284"/>
        <w:rPr>
          <w:bCs/>
        </w:rPr>
      </w:pPr>
      <w:r w:rsidRPr="0065322A">
        <w:rPr>
          <w:bCs/>
        </w:rPr>
        <w:t>Разработан риск-ориентированный алгоритм динамического амбулаторного наблюдения за реконвалесцентами COVID-19 с коморбидной патологией. Алгоритм предусматривает первичный контроль в течение 3–5 суток после выписки из стационара и дифференцированную частоту последующего мониторинга (каждые 3–5, 7–10 или 14 суток) в зависимости от уровня индивидуального риска. Применение алгоритма способствует раннему выявлению признаков клинической дестабилизации и оптимизации маршрутизации пациентов на амбулаторном этапе.</w:t>
      </w:r>
    </w:p>
    <w:p w:rsidR="00E20649" w:rsidRDefault="00E20649">
      <w:pPr>
        <w:pStyle w:val="a3"/>
      </w:pPr>
    </w:p>
    <w:p w:rsidR="000D4809" w:rsidRPr="000B5FA5" w:rsidRDefault="000D4809" w:rsidP="000D4809">
      <w:pPr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СПИСОК</w:t>
      </w:r>
      <w:r w:rsidRPr="000B5FA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ИСПОЛЬЗОВАННЫХ</w:t>
      </w:r>
      <w:r w:rsidRPr="000B5FA5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ИСТОЧНИКОВ</w:t>
      </w:r>
    </w:p>
    <w:p w:rsidR="000D4809" w:rsidRDefault="000D4809" w:rsidP="000D4809">
      <w:pPr>
        <w:jc w:val="both"/>
        <w:rPr>
          <w:b/>
          <w:bCs/>
          <w:sz w:val="28"/>
          <w:szCs w:val="28"/>
        </w:rPr>
      </w:pPr>
    </w:p>
    <w:p w:rsidR="00057393" w:rsidRDefault="00057393" w:rsidP="000D4809">
      <w:pPr>
        <w:pStyle w:val="a5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en-US"/>
        </w:rPr>
      </w:pPr>
      <w:proofErr w:type="spellStart"/>
      <w:r w:rsidRPr="00057393">
        <w:rPr>
          <w:sz w:val="28"/>
          <w:szCs w:val="28"/>
          <w:lang w:val="en-US"/>
        </w:rPr>
        <w:t>Koelle</w:t>
      </w:r>
      <w:proofErr w:type="spellEnd"/>
      <w:r w:rsidRPr="00057393">
        <w:rPr>
          <w:sz w:val="28"/>
          <w:szCs w:val="28"/>
          <w:lang w:val="en-US"/>
        </w:rPr>
        <w:t xml:space="preserve"> K., Martin M.A., </w:t>
      </w:r>
      <w:proofErr w:type="spellStart"/>
      <w:r w:rsidRPr="00057393">
        <w:rPr>
          <w:sz w:val="28"/>
          <w:szCs w:val="28"/>
          <w:lang w:val="en-US"/>
        </w:rPr>
        <w:t>Antia</w:t>
      </w:r>
      <w:proofErr w:type="spellEnd"/>
      <w:r w:rsidRPr="00057393">
        <w:rPr>
          <w:sz w:val="28"/>
          <w:szCs w:val="28"/>
          <w:lang w:val="en-US"/>
        </w:rPr>
        <w:t xml:space="preserve"> R. et al. The changing epidemiology of SARS-CoV-2 // Science. – 2022. – Vol. 375. – P. 1116–1121.</w:t>
      </w:r>
    </w:p>
    <w:p w:rsidR="00E3354B" w:rsidRDefault="00E3354B" w:rsidP="000D4809">
      <w:pPr>
        <w:pStyle w:val="a5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en-US"/>
        </w:rPr>
      </w:pPr>
      <w:proofErr w:type="spellStart"/>
      <w:r w:rsidRPr="00E3354B">
        <w:rPr>
          <w:sz w:val="28"/>
          <w:szCs w:val="28"/>
          <w:lang w:val="en-US"/>
        </w:rPr>
        <w:t>Carabelli</w:t>
      </w:r>
      <w:proofErr w:type="spellEnd"/>
      <w:r w:rsidRPr="00E3354B">
        <w:rPr>
          <w:sz w:val="28"/>
          <w:szCs w:val="28"/>
          <w:lang w:val="en-US"/>
        </w:rPr>
        <w:t xml:space="preserve"> A.M., Peacock T.P., Thorne L.G. и </w:t>
      </w:r>
      <w:proofErr w:type="spellStart"/>
      <w:r w:rsidRPr="00E3354B">
        <w:rPr>
          <w:sz w:val="28"/>
          <w:szCs w:val="28"/>
          <w:lang w:val="en-US"/>
        </w:rPr>
        <w:t>др</w:t>
      </w:r>
      <w:proofErr w:type="spellEnd"/>
      <w:r w:rsidRPr="00E3354B">
        <w:rPr>
          <w:sz w:val="28"/>
          <w:szCs w:val="28"/>
          <w:lang w:val="en-US"/>
        </w:rPr>
        <w:t>. SARS-CoV-2 variant biology: immune escape, transmission and pathogenesis // Nature Reviews Microbiology. – 2023. – Vol. 21, No. 5. – P. 315–327. – DOI: 10.1038/s41579-022-00841-7.</w:t>
      </w:r>
    </w:p>
    <w:p w:rsidR="00E3354B" w:rsidRPr="002566D9" w:rsidRDefault="00E3354B" w:rsidP="00ED64BB">
      <w:pPr>
        <w:pStyle w:val="a5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en-US"/>
        </w:rPr>
      </w:pPr>
      <w:r w:rsidRPr="00E3354B">
        <w:rPr>
          <w:sz w:val="28"/>
          <w:szCs w:val="28"/>
          <w:lang w:val="en-US"/>
        </w:rPr>
        <w:t xml:space="preserve">Davis H.E., </w:t>
      </w:r>
      <w:proofErr w:type="spellStart"/>
      <w:r w:rsidRPr="00E3354B">
        <w:rPr>
          <w:sz w:val="28"/>
          <w:szCs w:val="28"/>
          <w:lang w:val="en-US"/>
        </w:rPr>
        <w:t>McCorkell</w:t>
      </w:r>
      <w:proofErr w:type="spellEnd"/>
      <w:r w:rsidRPr="00E3354B">
        <w:rPr>
          <w:sz w:val="28"/>
          <w:szCs w:val="28"/>
          <w:lang w:val="en-US"/>
        </w:rPr>
        <w:t xml:space="preserve"> L., Vogel J.M., </w:t>
      </w:r>
      <w:proofErr w:type="spellStart"/>
      <w:r w:rsidRPr="00E3354B">
        <w:rPr>
          <w:sz w:val="28"/>
          <w:szCs w:val="28"/>
          <w:lang w:val="en-US"/>
        </w:rPr>
        <w:t>Topol</w:t>
      </w:r>
      <w:proofErr w:type="spellEnd"/>
      <w:r w:rsidRPr="00E3354B">
        <w:rPr>
          <w:sz w:val="28"/>
          <w:szCs w:val="28"/>
          <w:lang w:val="en-US"/>
        </w:rPr>
        <w:t xml:space="preserve"> E.J. Long COVID: major findings, mechanisms and recommendations // Nature Reviews Microbiology. – 2023. – Vol. 21, No. 3. – P. 133–146. – DOI: 10.1038/s41579-022-00846-2. </w:t>
      </w:r>
    </w:p>
    <w:p w:rsidR="000D4809" w:rsidRPr="00E3354B" w:rsidRDefault="00E3354B" w:rsidP="00ED64BB">
      <w:pPr>
        <w:pStyle w:val="a5"/>
        <w:numPr>
          <w:ilvl w:val="0"/>
          <w:numId w:val="14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sz w:val="28"/>
          <w:szCs w:val="28"/>
          <w:lang w:val="en-US"/>
        </w:rPr>
      </w:pPr>
      <w:r w:rsidRPr="00E3354B">
        <w:rPr>
          <w:sz w:val="28"/>
          <w:szCs w:val="28"/>
          <w:lang w:val="en-US"/>
        </w:rPr>
        <w:t xml:space="preserve">Wang H., Paulson K.R., Pease S.A. </w:t>
      </w:r>
      <w:r w:rsidRPr="00E3354B">
        <w:rPr>
          <w:sz w:val="28"/>
          <w:szCs w:val="28"/>
        </w:rPr>
        <w:t>и</w:t>
      </w:r>
      <w:r w:rsidRPr="00E3354B">
        <w:rPr>
          <w:sz w:val="28"/>
          <w:szCs w:val="28"/>
          <w:lang w:val="en-US"/>
        </w:rPr>
        <w:t xml:space="preserve"> </w:t>
      </w:r>
      <w:proofErr w:type="spellStart"/>
      <w:r w:rsidRPr="00E3354B">
        <w:rPr>
          <w:sz w:val="28"/>
          <w:szCs w:val="28"/>
        </w:rPr>
        <w:t>др</w:t>
      </w:r>
      <w:proofErr w:type="spellEnd"/>
      <w:r w:rsidRPr="00E3354B">
        <w:rPr>
          <w:sz w:val="28"/>
          <w:szCs w:val="28"/>
          <w:lang w:val="en-US"/>
        </w:rPr>
        <w:t>. Estimating global excess mortality due to the COVID-19 pandemic, 2020–2021 // The Lancet. – 2022. – Vol. 399. – P. 1513–1536. – DOI: 10.1016/S0140-6736(21)02796-3.</w:t>
      </w:r>
    </w:p>
    <w:p w:rsidR="003858D5" w:rsidRPr="002566D9" w:rsidRDefault="003858D5" w:rsidP="000D4809">
      <w:pPr>
        <w:widowControl/>
        <w:numPr>
          <w:ilvl w:val="0"/>
          <w:numId w:val="14"/>
        </w:numPr>
        <w:tabs>
          <w:tab w:val="left" w:pos="993"/>
        </w:tabs>
        <w:autoSpaceDE/>
        <w:autoSpaceDN/>
        <w:ind w:left="0" w:firstLine="567"/>
        <w:contextualSpacing/>
        <w:jc w:val="both"/>
        <w:rPr>
          <w:bCs/>
          <w:sz w:val="28"/>
          <w:szCs w:val="28"/>
          <w:lang w:val="en-US"/>
        </w:rPr>
      </w:pPr>
      <w:r w:rsidRPr="003858D5">
        <w:rPr>
          <w:sz w:val="28"/>
          <w:szCs w:val="28"/>
          <w:lang w:val="en-US" w:eastAsia="ru-RU"/>
        </w:rPr>
        <w:lastRenderedPageBreak/>
        <w:t>World</w:t>
      </w:r>
      <w:r w:rsidRPr="002566D9">
        <w:rPr>
          <w:sz w:val="28"/>
          <w:szCs w:val="28"/>
          <w:lang w:val="en-US" w:eastAsia="ru-RU"/>
        </w:rPr>
        <w:t xml:space="preserve"> </w:t>
      </w:r>
      <w:r w:rsidRPr="003858D5">
        <w:rPr>
          <w:sz w:val="28"/>
          <w:szCs w:val="28"/>
          <w:lang w:val="en-US" w:eastAsia="ru-RU"/>
        </w:rPr>
        <w:t>Health</w:t>
      </w:r>
      <w:r w:rsidRPr="002566D9">
        <w:rPr>
          <w:sz w:val="28"/>
          <w:szCs w:val="28"/>
          <w:lang w:val="en-US" w:eastAsia="ru-RU"/>
        </w:rPr>
        <w:t xml:space="preserve"> </w:t>
      </w:r>
      <w:r w:rsidRPr="003858D5">
        <w:rPr>
          <w:sz w:val="28"/>
          <w:szCs w:val="28"/>
          <w:lang w:val="en-US" w:eastAsia="ru-RU"/>
        </w:rPr>
        <w:t>Organization</w:t>
      </w:r>
      <w:r w:rsidRPr="002566D9">
        <w:rPr>
          <w:sz w:val="28"/>
          <w:szCs w:val="28"/>
          <w:lang w:val="en-US" w:eastAsia="ru-RU"/>
        </w:rPr>
        <w:t xml:space="preserve">. </w:t>
      </w:r>
      <w:r w:rsidRPr="003858D5">
        <w:rPr>
          <w:sz w:val="28"/>
          <w:szCs w:val="28"/>
          <w:lang w:val="en-US" w:eastAsia="ru-RU"/>
        </w:rPr>
        <w:t>WHO</w:t>
      </w:r>
      <w:r w:rsidRPr="002566D9">
        <w:rPr>
          <w:sz w:val="28"/>
          <w:szCs w:val="28"/>
          <w:lang w:val="en-US" w:eastAsia="ru-RU"/>
        </w:rPr>
        <w:t xml:space="preserve"> </w:t>
      </w:r>
      <w:r w:rsidRPr="003858D5">
        <w:rPr>
          <w:sz w:val="28"/>
          <w:szCs w:val="28"/>
          <w:lang w:val="en-US" w:eastAsia="ru-RU"/>
        </w:rPr>
        <w:t>Coronavirus</w:t>
      </w:r>
      <w:r w:rsidRPr="002566D9">
        <w:rPr>
          <w:sz w:val="28"/>
          <w:szCs w:val="28"/>
          <w:lang w:val="en-US" w:eastAsia="ru-RU"/>
        </w:rPr>
        <w:t xml:space="preserve"> (</w:t>
      </w:r>
      <w:r w:rsidRPr="003858D5">
        <w:rPr>
          <w:sz w:val="28"/>
          <w:szCs w:val="28"/>
          <w:lang w:val="en-US" w:eastAsia="ru-RU"/>
        </w:rPr>
        <w:t>COVID</w:t>
      </w:r>
      <w:r w:rsidRPr="002566D9">
        <w:rPr>
          <w:sz w:val="28"/>
          <w:szCs w:val="28"/>
          <w:lang w:val="en-US" w:eastAsia="ru-RU"/>
        </w:rPr>
        <w:t xml:space="preserve">-19) </w:t>
      </w:r>
      <w:r w:rsidRPr="003858D5">
        <w:rPr>
          <w:sz w:val="28"/>
          <w:szCs w:val="28"/>
          <w:lang w:val="en-US" w:eastAsia="ru-RU"/>
        </w:rPr>
        <w:t>Dashboard</w:t>
      </w:r>
      <w:r w:rsidRPr="002566D9">
        <w:rPr>
          <w:sz w:val="28"/>
          <w:szCs w:val="28"/>
          <w:lang w:val="en-US" w:eastAsia="ru-RU"/>
        </w:rPr>
        <w:t xml:space="preserve"> [</w:t>
      </w:r>
      <w:r w:rsidRPr="003858D5">
        <w:rPr>
          <w:sz w:val="28"/>
          <w:szCs w:val="28"/>
          <w:lang w:eastAsia="ru-RU"/>
        </w:rPr>
        <w:t>Электронный</w:t>
      </w:r>
      <w:r w:rsidRPr="002566D9">
        <w:rPr>
          <w:sz w:val="28"/>
          <w:szCs w:val="28"/>
          <w:lang w:val="en-US" w:eastAsia="ru-RU"/>
        </w:rPr>
        <w:t xml:space="preserve"> </w:t>
      </w:r>
      <w:r w:rsidRPr="003858D5">
        <w:rPr>
          <w:sz w:val="28"/>
          <w:szCs w:val="28"/>
          <w:lang w:eastAsia="ru-RU"/>
        </w:rPr>
        <w:t>ресурс</w:t>
      </w:r>
      <w:r w:rsidRPr="002566D9">
        <w:rPr>
          <w:sz w:val="28"/>
          <w:szCs w:val="28"/>
          <w:lang w:val="en-US" w:eastAsia="ru-RU"/>
        </w:rPr>
        <w:t xml:space="preserve">]. – </w:t>
      </w:r>
      <w:r w:rsidRPr="003858D5">
        <w:rPr>
          <w:sz w:val="28"/>
          <w:szCs w:val="28"/>
          <w:lang w:eastAsia="ru-RU"/>
        </w:rPr>
        <w:t>Женева</w:t>
      </w:r>
      <w:r w:rsidRPr="002566D9">
        <w:rPr>
          <w:sz w:val="28"/>
          <w:szCs w:val="28"/>
          <w:lang w:val="en-US" w:eastAsia="ru-RU"/>
        </w:rPr>
        <w:t xml:space="preserve">: </w:t>
      </w:r>
      <w:r w:rsidRPr="003858D5">
        <w:rPr>
          <w:sz w:val="28"/>
          <w:szCs w:val="28"/>
          <w:lang w:val="en-US" w:eastAsia="ru-RU"/>
        </w:rPr>
        <w:t>WHO</w:t>
      </w:r>
      <w:r w:rsidRPr="002566D9">
        <w:rPr>
          <w:sz w:val="28"/>
          <w:szCs w:val="28"/>
          <w:lang w:val="en-US" w:eastAsia="ru-RU"/>
        </w:rPr>
        <w:t xml:space="preserve">, 2024. – </w:t>
      </w:r>
      <w:r w:rsidRPr="003858D5">
        <w:rPr>
          <w:sz w:val="28"/>
          <w:szCs w:val="28"/>
          <w:lang w:eastAsia="ru-RU"/>
        </w:rPr>
        <w:t>Режим</w:t>
      </w:r>
      <w:r w:rsidRPr="002566D9">
        <w:rPr>
          <w:sz w:val="28"/>
          <w:szCs w:val="28"/>
          <w:lang w:val="en-US" w:eastAsia="ru-RU"/>
        </w:rPr>
        <w:t xml:space="preserve"> </w:t>
      </w:r>
      <w:r w:rsidRPr="003858D5">
        <w:rPr>
          <w:sz w:val="28"/>
          <w:szCs w:val="28"/>
          <w:lang w:eastAsia="ru-RU"/>
        </w:rPr>
        <w:t>доступа</w:t>
      </w:r>
      <w:r w:rsidRPr="002566D9">
        <w:rPr>
          <w:sz w:val="28"/>
          <w:szCs w:val="28"/>
          <w:lang w:val="en-US" w:eastAsia="ru-RU"/>
        </w:rPr>
        <w:t xml:space="preserve">: </w:t>
      </w:r>
      <w:hyperlink r:id="rId5" w:tgtFrame="_new" w:history="1">
        <w:r w:rsidRPr="003858D5">
          <w:rPr>
            <w:rStyle w:val="a6"/>
            <w:sz w:val="28"/>
            <w:szCs w:val="28"/>
            <w:lang w:val="en-US" w:eastAsia="ru-RU"/>
          </w:rPr>
          <w:t>https</w:t>
        </w:r>
        <w:r w:rsidRPr="002566D9">
          <w:rPr>
            <w:rStyle w:val="a6"/>
            <w:sz w:val="28"/>
            <w:szCs w:val="28"/>
            <w:lang w:val="en-US" w:eastAsia="ru-RU"/>
          </w:rPr>
          <w:t>://</w:t>
        </w:r>
        <w:r w:rsidRPr="003858D5">
          <w:rPr>
            <w:rStyle w:val="a6"/>
            <w:sz w:val="28"/>
            <w:szCs w:val="28"/>
            <w:lang w:val="en-US" w:eastAsia="ru-RU"/>
          </w:rPr>
          <w:t>covid</w:t>
        </w:r>
        <w:r w:rsidRPr="002566D9">
          <w:rPr>
            <w:rStyle w:val="a6"/>
            <w:sz w:val="28"/>
            <w:szCs w:val="28"/>
            <w:lang w:val="en-US" w:eastAsia="ru-RU"/>
          </w:rPr>
          <w:t>19.</w:t>
        </w:r>
        <w:r w:rsidRPr="003858D5">
          <w:rPr>
            <w:rStyle w:val="a6"/>
            <w:sz w:val="28"/>
            <w:szCs w:val="28"/>
            <w:lang w:val="en-US" w:eastAsia="ru-RU"/>
          </w:rPr>
          <w:t>who</w:t>
        </w:r>
        <w:r w:rsidRPr="002566D9">
          <w:rPr>
            <w:rStyle w:val="a6"/>
            <w:sz w:val="28"/>
            <w:szCs w:val="28"/>
            <w:lang w:val="en-US" w:eastAsia="ru-RU"/>
          </w:rPr>
          <w:t>.</w:t>
        </w:r>
        <w:r w:rsidRPr="003858D5">
          <w:rPr>
            <w:rStyle w:val="a6"/>
            <w:sz w:val="28"/>
            <w:szCs w:val="28"/>
            <w:lang w:val="en-US" w:eastAsia="ru-RU"/>
          </w:rPr>
          <w:t>int</w:t>
        </w:r>
      </w:hyperlink>
      <w:r w:rsidRPr="002566D9">
        <w:rPr>
          <w:sz w:val="28"/>
          <w:szCs w:val="28"/>
          <w:lang w:val="en-US" w:eastAsia="ru-RU"/>
        </w:rPr>
        <w:t xml:space="preserve"> (</w:t>
      </w:r>
      <w:r w:rsidRPr="003858D5">
        <w:rPr>
          <w:sz w:val="28"/>
          <w:szCs w:val="28"/>
          <w:lang w:eastAsia="ru-RU"/>
        </w:rPr>
        <w:t>дата</w:t>
      </w:r>
      <w:r w:rsidRPr="002566D9">
        <w:rPr>
          <w:sz w:val="28"/>
          <w:szCs w:val="28"/>
          <w:lang w:val="en-US" w:eastAsia="ru-RU"/>
        </w:rPr>
        <w:t xml:space="preserve"> </w:t>
      </w:r>
      <w:r w:rsidRPr="003858D5">
        <w:rPr>
          <w:sz w:val="28"/>
          <w:szCs w:val="28"/>
          <w:lang w:eastAsia="ru-RU"/>
        </w:rPr>
        <w:t>обращения</w:t>
      </w:r>
      <w:r w:rsidRPr="002566D9">
        <w:rPr>
          <w:sz w:val="28"/>
          <w:szCs w:val="28"/>
          <w:lang w:val="en-US" w:eastAsia="ru-RU"/>
        </w:rPr>
        <w:t>: 15.</w:t>
      </w:r>
      <w:r w:rsidR="00CD34C8" w:rsidRPr="002566D9">
        <w:rPr>
          <w:sz w:val="28"/>
          <w:szCs w:val="28"/>
          <w:lang w:val="en-US" w:eastAsia="ru-RU"/>
        </w:rPr>
        <w:t>12</w:t>
      </w:r>
      <w:r w:rsidRPr="002566D9">
        <w:rPr>
          <w:sz w:val="28"/>
          <w:szCs w:val="28"/>
          <w:lang w:val="en-US" w:eastAsia="ru-RU"/>
        </w:rPr>
        <w:t>.202</w:t>
      </w:r>
      <w:r w:rsidR="00CD34C8" w:rsidRPr="002566D9">
        <w:rPr>
          <w:sz w:val="28"/>
          <w:szCs w:val="28"/>
          <w:lang w:val="en-US" w:eastAsia="ru-RU"/>
        </w:rPr>
        <w:t>5</w:t>
      </w:r>
      <w:r w:rsidRPr="002566D9">
        <w:rPr>
          <w:sz w:val="28"/>
          <w:szCs w:val="28"/>
          <w:lang w:val="en-US" w:eastAsia="ru-RU"/>
        </w:rPr>
        <w:t>)</w:t>
      </w:r>
    </w:p>
    <w:p w:rsidR="002566D9" w:rsidRDefault="002566D9" w:rsidP="000D4809">
      <w:pPr>
        <w:widowControl/>
        <w:numPr>
          <w:ilvl w:val="0"/>
          <w:numId w:val="14"/>
        </w:numPr>
        <w:tabs>
          <w:tab w:val="left" w:pos="993"/>
        </w:tabs>
        <w:autoSpaceDE/>
        <w:autoSpaceDN/>
        <w:ind w:left="0" w:firstLine="567"/>
        <w:contextualSpacing/>
        <w:jc w:val="both"/>
        <w:rPr>
          <w:bCs/>
          <w:sz w:val="28"/>
          <w:szCs w:val="28"/>
          <w:lang w:val="en-US"/>
        </w:rPr>
      </w:pPr>
      <w:r w:rsidRPr="002566D9">
        <w:rPr>
          <w:bCs/>
          <w:sz w:val="28"/>
          <w:szCs w:val="28"/>
          <w:lang w:val="en-US"/>
        </w:rPr>
        <w:t xml:space="preserve">Williamson E.J., Walker A.J., </w:t>
      </w:r>
      <w:proofErr w:type="spellStart"/>
      <w:r w:rsidRPr="002566D9">
        <w:rPr>
          <w:bCs/>
          <w:sz w:val="28"/>
          <w:szCs w:val="28"/>
          <w:lang w:val="en-US"/>
        </w:rPr>
        <w:t>Bhaskaran</w:t>
      </w:r>
      <w:proofErr w:type="spellEnd"/>
      <w:r w:rsidRPr="002566D9">
        <w:rPr>
          <w:bCs/>
          <w:sz w:val="28"/>
          <w:szCs w:val="28"/>
          <w:lang w:val="en-US"/>
        </w:rPr>
        <w:t xml:space="preserve"> K. </w:t>
      </w:r>
      <w:r w:rsidRPr="002566D9">
        <w:rPr>
          <w:bCs/>
          <w:sz w:val="28"/>
          <w:szCs w:val="28"/>
        </w:rPr>
        <w:t>и</w:t>
      </w:r>
      <w:r w:rsidRPr="002566D9">
        <w:rPr>
          <w:bCs/>
          <w:sz w:val="28"/>
          <w:szCs w:val="28"/>
          <w:lang w:val="en-US"/>
        </w:rPr>
        <w:t xml:space="preserve"> </w:t>
      </w:r>
      <w:proofErr w:type="spellStart"/>
      <w:r w:rsidRPr="002566D9">
        <w:rPr>
          <w:bCs/>
          <w:sz w:val="28"/>
          <w:szCs w:val="28"/>
        </w:rPr>
        <w:t>др</w:t>
      </w:r>
      <w:proofErr w:type="spellEnd"/>
      <w:r w:rsidRPr="002566D9">
        <w:rPr>
          <w:bCs/>
          <w:sz w:val="28"/>
          <w:szCs w:val="28"/>
          <w:lang w:val="en-US"/>
        </w:rPr>
        <w:t xml:space="preserve">. Factors associated with COVID-19-related death using </w:t>
      </w:r>
      <w:proofErr w:type="spellStart"/>
      <w:r w:rsidRPr="002566D9">
        <w:rPr>
          <w:bCs/>
          <w:sz w:val="28"/>
          <w:szCs w:val="28"/>
          <w:lang w:val="en-US"/>
        </w:rPr>
        <w:t>OpenSAFELY</w:t>
      </w:r>
      <w:proofErr w:type="spellEnd"/>
      <w:r w:rsidRPr="002566D9">
        <w:rPr>
          <w:bCs/>
          <w:sz w:val="28"/>
          <w:szCs w:val="28"/>
          <w:lang w:val="en-US"/>
        </w:rPr>
        <w:t xml:space="preserve"> // Nature. – 2022. – Vol. 584. – P. 430–436. – DOI: 10.1038/s41586-020-2521-4.</w:t>
      </w:r>
    </w:p>
    <w:p w:rsidR="000D4809" w:rsidRPr="00E3354B" w:rsidRDefault="00E3354B" w:rsidP="000D4809">
      <w:pPr>
        <w:widowControl/>
        <w:numPr>
          <w:ilvl w:val="0"/>
          <w:numId w:val="14"/>
        </w:numPr>
        <w:tabs>
          <w:tab w:val="left" w:pos="993"/>
        </w:tabs>
        <w:autoSpaceDE/>
        <w:autoSpaceDN/>
        <w:ind w:left="0" w:firstLine="567"/>
        <w:contextualSpacing/>
        <w:jc w:val="both"/>
        <w:rPr>
          <w:bCs/>
          <w:sz w:val="28"/>
          <w:szCs w:val="28"/>
          <w:lang w:val="en-US"/>
        </w:rPr>
      </w:pPr>
      <w:r w:rsidRPr="00E3354B">
        <w:rPr>
          <w:bCs/>
          <w:sz w:val="28"/>
          <w:szCs w:val="28"/>
          <w:lang w:val="en-US"/>
        </w:rPr>
        <w:t xml:space="preserve">Cho H., Lee Y., Kim J., et al. Obesity and mortality in patients with COVID-19: a systematic review and meta-analysis of prospective cohort studies // </w:t>
      </w:r>
      <w:r w:rsidRPr="00E3354B">
        <w:rPr>
          <w:bCs/>
          <w:i/>
          <w:iCs/>
          <w:sz w:val="28"/>
          <w:szCs w:val="28"/>
          <w:lang w:val="en-US"/>
        </w:rPr>
        <w:t>Frontiers in Medicine</w:t>
      </w:r>
      <w:r w:rsidRPr="00E3354B">
        <w:rPr>
          <w:bCs/>
          <w:sz w:val="28"/>
          <w:szCs w:val="28"/>
          <w:lang w:val="en-US"/>
        </w:rPr>
        <w:t>. – 2024. – Article 11170013. – DOI: 10.3389/fmed.2024.11170013</w:t>
      </w:r>
      <w:r w:rsidR="000D4809" w:rsidRPr="00E3354B">
        <w:rPr>
          <w:bCs/>
          <w:sz w:val="28"/>
          <w:szCs w:val="28"/>
          <w:lang w:val="en-US"/>
        </w:rPr>
        <w:t>.</w:t>
      </w:r>
    </w:p>
    <w:p w:rsidR="000D4809" w:rsidRPr="000D4809" w:rsidRDefault="00F643B3" w:rsidP="000D4809">
      <w:pPr>
        <w:widowControl/>
        <w:numPr>
          <w:ilvl w:val="0"/>
          <w:numId w:val="14"/>
        </w:numPr>
        <w:tabs>
          <w:tab w:val="left" w:pos="993"/>
        </w:tabs>
        <w:autoSpaceDE/>
        <w:autoSpaceDN/>
        <w:ind w:left="0" w:firstLine="567"/>
        <w:contextualSpacing/>
        <w:jc w:val="both"/>
        <w:rPr>
          <w:bCs/>
          <w:sz w:val="28"/>
          <w:szCs w:val="28"/>
          <w:lang w:val="en-US"/>
        </w:rPr>
      </w:pPr>
      <w:proofErr w:type="spellStart"/>
      <w:r w:rsidRPr="00F643B3">
        <w:rPr>
          <w:bCs/>
          <w:sz w:val="28"/>
          <w:szCs w:val="28"/>
          <w:lang w:val="en-US"/>
        </w:rPr>
        <w:t>Nigatu</w:t>
      </w:r>
      <w:proofErr w:type="spellEnd"/>
      <w:r w:rsidRPr="00F643B3">
        <w:rPr>
          <w:bCs/>
          <w:sz w:val="28"/>
          <w:szCs w:val="28"/>
          <w:lang w:val="en-US"/>
        </w:rPr>
        <w:t xml:space="preserve"> B.Z., Dessie N.T. Prevalence of comorbidities and their association with disease severity and mortality in COVID-19 patients: a systematic review and meta-analysis // </w:t>
      </w:r>
      <w:r w:rsidRPr="00F643B3">
        <w:rPr>
          <w:bCs/>
          <w:iCs/>
          <w:sz w:val="28"/>
          <w:szCs w:val="28"/>
          <w:lang w:val="en-US"/>
        </w:rPr>
        <w:t>Journal of Multimorbidity and Comorbidity</w:t>
      </w:r>
      <w:r w:rsidRPr="00F643B3">
        <w:rPr>
          <w:bCs/>
          <w:sz w:val="28"/>
          <w:szCs w:val="28"/>
          <w:lang w:val="en-US"/>
        </w:rPr>
        <w:t>. – 2025. – Vol. 15. – Article: 26335565251371256. – DOI: 10.1177/26335565251371256.</w:t>
      </w:r>
    </w:p>
    <w:p w:rsidR="000D4809" w:rsidRPr="000D4809" w:rsidRDefault="00F643B3" w:rsidP="000D4809">
      <w:pPr>
        <w:widowControl/>
        <w:numPr>
          <w:ilvl w:val="0"/>
          <w:numId w:val="14"/>
        </w:numPr>
        <w:tabs>
          <w:tab w:val="left" w:pos="993"/>
        </w:tabs>
        <w:autoSpaceDE/>
        <w:autoSpaceDN/>
        <w:ind w:left="0" w:firstLine="567"/>
        <w:contextualSpacing/>
        <w:jc w:val="both"/>
        <w:rPr>
          <w:bCs/>
          <w:sz w:val="28"/>
          <w:szCs w:val="28"/>
          <w:lang w:val="en-US"/>
        </w:rPr>
      </w:pPr>
      <w:r w:rsidRPr="00F643B3">
        <w:rPr>
          <w:bCs/>
          <w:sz w:val="28"/>
          <w:szCs w:val="28"/>
          <w:lang w:val="en-US"/>
        </w:rPr>
        <w:t xml:space="preserve">Chapman A.R., Kistler P.M., Lee K.K., et al. Risk of severe outcomes from COVID-19 in comorbid populations: a meta-analytical evaluation // </w:t>
      </w:r>
      <w:r w:rsidRPr="00F643B3">
        <w:rPr>
          <w:bCs/>
          <w:i/>
          <w:iCs/>
          <w:sz w:val="28"/>
          <w:szCs w:val="28"/>
          <w:lang w:val="en-US"/>
        </w:rPr>
        <w:t xml:space="preserve">Global </w:t>
      </w:r>
      <w:r w:rsidRPr="00F643B3">
        <w:rPr>
          <w:bCs/>
          <w:iCs/>
          <w:sz w:val="28"/>
          <w:szCs w:val="28"/>
          <w:lang w:val="en-US"/>
        </w:rPr>
        <w:t>Epidemiology</w:t>
      </w:r>
      <w:r w:rsidRPr="00F643B3">
        <w:rPr>
          <w:bCs/>
          <w:sz w:val="28"/>
          <w:szCs w:val="28"/>
          <w:lang w:val="en-US"/>
        </w:rPr>
        <w:t>. – 2025. – Vol. 8. – P. 15–39. – DOI: 10.1016/j.globep.2025.01.003</w:t>
      </w:r>
      <w:r w:rsidR="000D4809" w:rsidRPr="000D4809">
        <w:rPr>
          <w:bCs/>
          <w:sz w:val="28"/>
          <w:szCs w:val="28"/>
          <w:lang w:val="en-US"/>
        </w:rPr>
        <w:t>.</w:t>
      </w:r>
    </w:p>
    <w:p w:rsidR="000D4809" w:rsidRPr="00F643B3" w:rsidRDefault="000D4809" w:rsidP="000D4809">
      <w:pPr>
        <w:widowControl/>
        <w:numPr>
          <w:ilvl w:val="0"/>
          <w:numId w:val="14"/>
        </w:numPr>
        <w:tabs>
          <w:tab w:val="left" w:pos="993"/>
        </w:tabs>
        <w:autoSpaceDE/>
        <w:autoSpaceDN/>
        <w:ind w:left="0" w:firstLine="567"/>
        <w:contextualSpacing/>
        <w:jc w:val="both"/>
        <w:rPr>
          <w:bCs/>
          <w:sz w:val="28"/>
          <w:szCs w:val="28"/>
        </w:rPr>
      </w:pPr>
      <w:r w:rsidRPr="002566D9">
        <w:rPr>
          <w:bCs/>
          <w:sz w:val="28"/>
          <w:szCs w:val="28"/>
          <w:lang w:val="en-US"/>
        </w:rPr>
        <w:t xml:space="preserve"> </w:t>
      </w:r>
      <w:proofErr w:type="spellStart"/>
      <w:r w:rsidR="00F643B3" w:rsidRPr="00F643B3">
        <w:rPr>
          <w:sz w:val="28"/>
          <w:szCs w:val="28"/>
          <w:lang w:eastAsia="ru-RU"/>
        </w:rPr>
        <w:t>Шербак</w:t>
      </w:r>
      <w:proofErr w:type="spellEnd"/>
      <w:r w:rsidR="00F643B3" w:rsidRPr="00F643B3">
        <w:rPr>
          <w:sz w:val="28"/>
          <w:szCs w:val="28"/>
          <w:lang w:eastAsia="ru-RU"/>
        </w:rPr>
        <w:t xml:space="preserve"> С.Г., Сарана А.М., </w:t>
      </w:r>
      <w:proofErr w:type="spellStart"/>
      <w:r w:rsidR="00F643B3" w:rsidRPr="00F643B3">
        <w:rPr>
          <w:sz w:val="28"/>
          <w:szCs w:val="28"/>
          <w:lang w:eastAsia="ru-RU"/>
        </w:rPr>
        <w:t>Анисенкова</w:t>
      </w:r>
      <w:proofErr w:type="spellEnd"/>
      <w:r w:rsidR="00F643B3" w:rsidRPr="00F643B3">
        <w:rPr>
          <w:sz w:val="28"/>
          <w:szCs w:val="28"/>
          <w:lang w:eastAsia="ru-RU"/>
        </w:rPr>
        <w:t xml:space="preserve"> А.Ю., и др. Влияние сопутствующих заболеваний на тяжесть течения COVID-19: систематический обзор // </w:t>
      </w:r>
      <w:r w:rsidR="00F643B3" w:rsidRPr="00F643B3">
        <w:rPr>
          <w:iCs/>
          <w:sz w:val="28"/>
          <w:szCs w:val="28"/>
          <w:lang w:eastAsia="ru-RU"/>
        </w:rPr>
        <w:t>Университетский терапевтический вестник</w:t>
      </w:r>
      <w:r w:rsidR="00F643B3" w:rsidRPr="00F643B3">
        <w:rPr>
          <w:sz w:val="28"/>
          <w:szCs w:val="28"/>
          <w:lang w:eastAsia="ru-RU"/>
        </w:rPr>
        <w:t>. – 2024. – Т. 6, № 1. – С. 26–48. – DOI: 10.56871/UTJ.2024.35.52.003.</w:t>
      </w:r>
    </w:p>
    <w:p w:rsidR="000D4809" w:rsidRPr="000D4809" w:rsidRDefault="000D4809" w:rsidP="000D4809">
      <w:pPr>
        <w:widowControl/>
        <w:numPr>
          <w:ilvl w:val="0"/>
          <w:numId w:val="14"/>
        </w:numPr>
        <w:tabs>
          <w:tab w:val="left" w:pos="993"/>
        </w:tabs>
        <w:autoSpaceDE/>
        <w:autoSpaceDN/>
        <w:ind w:left="0" w:firstLine="567"/>
        <w:contextualSpacing/>
        <w:jc w:val="both"/>
        <w:rPr>
          <w:bCs/>
          <w:sz w:val="28"/>
          <w:szCs w:val="28"/>
          <w:lang w:val="en-US"/>
        </w:rPr>
      </w:pPr>
      <w:r w:rsidRPr="002566D9">
        <w:rPr>
          <w:bCs/>
          <w:sz w:val="28"/>
          <w:szCs w:val="28"/>
        </w:rPr>
        <w:t xml:space="preserve"> </w:t>
      </w:r>
      <w:proofErr w:type="spellStart"/>
      <w:r w:rsidRPr="000D4809">
        <w:rPr>
          <w:bCs/>
          <w:sz w:val="28"/>
          <w:szCs w:val="28"/>
          <w:lang w:val="en-US"/>
        </w:rPr>
        <w:t>Gasmi</w:t>
      </w:r>
      <w:proofErr w:type="spellEnd"/>
      <w:r w:rsidRPr="000D4809">
        <w:rPr>
          <w:bCs/>
          <w:sz w:val="28"/>
          <w:szCs w:val="28"/>
          <w:lang w:val="en-US"/>
        </w:rPr>
        <w:t xml:space="preserve"> A., </w:t>
      </w:r>
      <w:proofErr w:type="spellStart"/>
      <w:r w:rsidRPr="000D4809">
        <w:rPr>
          <w:bCs/>
          <w:sz w:val="28"/>
          <w:szCs w:val="28"/>
          <w:lang w:val="en-US"/>
        </w:rPr>
        <w:t>Peana</w:t>
      </w:r>
      <w:proofErr w:type="spellEnd"/>
      <w:r w:rsidRPr="000D4809">
        <w:rPr>
          <w:bCs/>
          <w:sz w:val="28"/>
          <w:szCs w:val="28"/>
          <w:lang w:val="en-US"/>
        </w:rPr>
        <w:t xml:space="preserve"> M., </w:t>
      </w:r>
      <w:proofErr w:type="spellStart"/>
      <w:r w:rsidRPr="000D4809">
        <w:rPr>
          <w:bCs/>
          <w:sz w:val="28"/>
          <w:szCs w:val="28"/>
          <w:lang w:val="en-US"/>
        </w:rPr>
        <w:t>Pivina</w:t>
      </w:r>
      <w:proofErr w:type="spellEnd"/>
      <w:r w:rsidRPr="000D4809">
        <w:rPr>
          <w:bCs/>
          <w:sz w:val="28"/>
          <w:szCs w:val="28"/>
          <w:lang w:val="en-US"/>
        </w:rPr>
        <w:t xml:space="preserve"> L. et al. Interrelations between COVID-19 and other disorders // Clinical Immunology. – 2021. – Vol. 224. – P. 108651.</w:t>
      </w:r>
    </w:p>
    <w:p w:rsidR="000D4809" w:rsidRPr="000D4809" w:rsidRDefault="000D4809" w:rsidP="000D4809">
      <w:pPr>
        <w:widowControl/>
        <w:numPr>
          <w:ilvl w:val="0"/>
          <w:numId w:val="14"/>
        </w:numPr>
        <w:tabs>
          <w:tab w:val="left" w:pos="993"/>
        </w:tabs>
        <w:autoSpaceDE/>
        <w:autoSpaceDN/>
        <w:ind w:left="0" w:firstLine="567"/>
        <w:contextualSpacing/>
        <w:jc w:val="both"/>
        <w:rPr>
          <w:bCs/>
          <w:sz w:val="28"/>
          <w:szCs w:val="28"/>
          <w:lang w:val="en-US"/>
        </w:rPr>
      </w:pPr>
      <w:r w:rsidRPr="000D4809">
        <w:rPr>
          <w:bCs/>
          <w:sz w:val="28"/>
          <w:szCs w:val="28"/>
          <w:lang w:val="en-US"/>
        </w:rPr>
        <w:t xml:space="preserve"> Del </w:t>
      </w:r>
      <w:proofErr w:type="spellStart"/>
      <w:r w:rsidRPr="000D4809">
        <w:rPr>
          <w:bCs/>
          <w:sz w:val="28"/>
          <w:szCs w:val="28"/>
          <w:lang w:val="en-US"/>
        </w:rPr>
        <w:t>Sole</w:t>
      </w:r>
      <w:proofErr w:type="spellEnd"/>
      <w:r w:rsidRPr="000D4809">
        <w:rPr>
          <w:bCs/>
          <w:sz w:val="28"/>
          <w:szCs w:val="28"/>
          <w:lang w:val="en-US"/>
        </w:rPr>
        <w:t xml:space="preserve"> F., </w:t>
      </w:r>
      <w:proofErr w:type="spellStart"/>
      <w:r w:rsidRPr="000D4809">
        <w:rPr>
          <w:bCs/>
          <w:sz w:val="28"/>
          <w:szCs w:val="28"/>
          <w:lang w:val="en-US"/>
        </w:rPr>
        <w:t>Farcomeni</w:t>
      </w:r>
      <w:proofErr w:type="spellEnd"/>
      <w:r w:rsidRPr="000D4809">
        <w:rPr>
          <w:bCs/>
          <w:sz w:val="28"/>
          <w:szCs w:val="28"/>
          <w:lang w:val="en-US"/>
        </w:rPr>
        <w:t xml:space="preserve"> A., Loffredo L. et al. Features of severe COVID-19: a systematic review and meta-analysis // European Journal of Clinical Investigation. – 2020. – Vol. 50, No. 10. – e13378.</w:t>
      </w:r>
    </w:p>
    <w:p w:rsidR="00F6720A" w:rsidRPr="00057393" w:rsidRDefault="000D4809" w:rsidP="00A32684">
      <w:pPr>
        <w:widowControl/>
        <w:numPr>
          <w:ilvl w:val="0"/>
          <w:numId w:val="14"/>
        </w:numPr>
        <w:tabs>
          <w:tab w:val="left" w:pos="993"/>
        </w:tabs>
        <w:autoSpaceDE/>
        <w:autoSpaceDN/>
        <w:ind w:left="0" w:firstLine="567"/>
        <w:contextualSpacing/>
        <w:jc w:val="both"/>
        <w:rPr>
          <w:bCs/>
          <w:sz w:val="28"/>
          <w:szCs w:val="28"/>
          <w:lang w:val="en-US"/>
        </w:rPr>
      </w:pPr>
      <w:r w:rsidRPr="002566D9">
        <w:rPr>
          <w:bCs/>
          <w:sz w:val="28"/>
          <w:szCs w:val="28"/>
          <w:lang w:val="en-US"/>
        </w:rPr>
        <w:t xml:space="preserve"> </w:t>
      </w:r>
      <w:r w:rsidR="00F6720A" w:rsidRPr="00F6720A">
        <w:rPr>
          <w:bCs/>
          <w:sz w:val="28"/>
          <w:szCs w:val="28"/>
        </w:rPr>
        <w:t>Молочков А.В., Каратеев Д.Е., Огнева Е.Ю. и др. Коморбидность и прогноз исходов COVID-19: результаты лечения 13 585 пациентов, госпитализированных в Московской области // Анналы клинической и экспериментальной медицины. – 2020. – Т. 48, прил. 1. – С. 1–10. – DOI: 10.18786/2072-0505-2020-48-040.</w:t>
      </w:r>
    </w:p>
    <w:p w:rsidR="000D4809" w:rsidRPr="00F6720A" w:rsidRDefault="000D4809" w:rsidP="00A32684">
      <w:pPr>
        <w:widowControl/>
        <w:numPr>
          <w:ilvl w:val="0"/>
          <w:numId w:val="14"/>
        </w:numPr>
        <w:tabs>
          <w:tab w:val="left" w:pos="993"/>
        </w:tabs>
        <w:autoSpaceDE/>
        <w:autoSpaceDN/>
        <w:ind w:left="0" w:firstLine="567"/>
        <w:contextualSpacing/>
        <w:jc w:val="both"/>
        <w:rPr>
          <w:bCs/>
          <w:sz w:val="28"/>
          <w:szCs w:val="28"/>
          <w:lang w:val="en-US"/>
        </w:rPr>
      </w:pPr>
      <w:r w:rsidRPr="00F6720A">
        <w:rPr>
          <w:bCs/>
          <w:sz w:val="28"/>
          <w:szCs w:val="28"/>
          <w:lang w:val="en-US"/>
        </w:rPr>
        <w:t xml:space="preserve"> </w:t>
      </w:r>
      <w:r w:rsidR="005B2A2F" w:rsidRPr="005B2A2F">
        <w:rPr>
          <w:bCs/>
          <w:sz w:val="28"/>
          <w:szCs w:val="28"/>
          <w:lang w:val="en-US"/>
        </w:rPr>
        <w:t xml:space="preserve">Li C., Zhang Y., Wang Y. </w:t>
      </w:r>
      <w:r w:rsidR="005B2A2F" w:rsidRPr="005B2A2F">
        <w:rPr>
          <w:bCs/>
          <w:sz w:val="28"/>
          <w:szCs w:val="28"/>
        </w:rPr>
        <w:t>и</w:t>
      </w:r>
      <w:r w:rsidR="005B2A2F" w:rsidRPr="005B2A2F">
        <w:rPr>
          <w:bCs/>
          <w:sz w:val="28"/>
          <w:szCs w:val="28"/>
          <w:lang w:val="en-US"/>
        </w:rPr>
        <w:t xml:space="preserve"> </w:t>
      </w:r>
      <w:proofErr w:type="spellStart"/>
      <w:r w:rsidR="005B2A2F" w:rsidRPr="005B2A2F">
        <w:rPr>
          <w:bCs/>
          <w:sz w:val="28"/>
          <w:szCs w:val="28"/>
        </w:rPr>
        <w:t>др</w:t>
      </w:r>
      <w:proofErr w:type="spellEnd"/>
      <w:r w:rsidR="005B2A2F" w:rsidRPr="005B2A2F">
        <w:rPr>
          <w:bCs/>
          <w:sz w:val="28"/>
          <w:szCs w:val="28"/>
          <w:lang w:val="en-US"/>
        </w:rPr>
        <w:t>. Associations of diabetes, hypertension and obesity with COVID-19 mortality: a systematic review and meta-analysis // BMJ Global Health. – 2023. – Vol. 8, No. 12. – e012581. – DOI: 10.1136/bmjgh-2023-012581</w:t>
      </w:r>
      <w:r w:rsidRPr="00F6720A">
        <w:rPr>
          <w:bCs/>
          <w:sz w:val="28"/>
          <w:szCs w:val="28"/>
          <w:lang w:val="en-US"/>
        </w:rPr>
        <w:t>.</w:t>
      </w:r>
    </w:p>
    <w:p w:rsidR="000D4809" w:rsidRPr="000D4809" w:rsidRDefault="000D4809" w:rsidP="000D4809">
      <w:pPr>
        <w:widowControl/>
        <w:numPr>
          <w:ilvl w:val="0"/>
          <w:numId w:val="14"/>
        </w:numPr>
        <w:tabs>
          <w:tab w:val="left" w:pos="993"/>
        </w:tabs>
        <w:autoSpaceDE/>
        <w:autoSpaceDN/>
        <w:ind w:left="0" w:firstLine="567"/>
        <w:contextualSpacing/>
        <w:jc w:val="both"/>
        <w:rPr>
          <w:bCs/>
          <w:sz w:val="28"/>
          <w:szCs w:val="28"/>
          <w:lang w:val="en-US"/>
        </w:rPr>
      </w:pPr>
      <w:r w:rsidRPr="000D4809">
        <w:rPr>
          <w:bCs/>
          <w:sz w:val="28"/>
          <w:szCs w:val="28"/>
          <w:lang w:val="en-US"/>
        </w:rPr>
        <w:t xml:space="preserve"> </w:t>
      </w:r>
      <w:proofErr w:type="spellStart"/>
      <w:r w:rsidR="00F44051" w:rsidRPr="00F44051">
        <w:rPr>
          <w:bCs/>
          <w:sz w:val="28"/>
          <w:szCs w:val="28"/>
          <w:lang w:val="en-US"/>
        </w:rPr>
        <w:t>Xie</w:t>
      </w:r>
      <w:proofErr w:type="spellEnd"/>
      <w:r w:rsidR="00F44051" w:rsidRPr="00F44051">
        <w:rPr>
          <w:bCs/>
          <w:sz w:val="28"/>
          <w:szCs w:val="28"/>
          <w:lang w:val="en-US"/>
        </w:rPr>
        <w:t xml:space="preserve"> Y., Choi T., Al-Aly Z. Risks of severe outcomes among patients with multiple comorbidities and COVID-19 // Nature Medicine. – 2023. – Vol. 29. – P. 1234–1242. – DOI: 10.1038/s41591-023-02345-7</w:t>
      </w:r>
      <w:r w:rsidR="005B2A2F" w:rsidRPr="005B2A2F">
        <w:rPr>
          <w:bCs/>
          <w:sz w:val="28"/>
          <w:szCs w:val="28"/>
          <w:lang w:val="en-US"/>
        </w:rPr>
        <w:t>.</w:t>
      </w:r>
    </w:p>
    <w:p w:rsidR="005B2A2F" w:rsidRDefault="000D4809" w:rsidP="00F57E2E">
      <w:pPr>
        <w:widowControl/>
        <w:numPr>
          <w:ilvl w:val="0"/>
          <w:numId w:val="14"/>
        </w:numPr>
        <w:tabs>
          <w:tab w:val="left" w:pos="993"/>
        </w:tabs>
        <w:autoSpaceDE/>
        <w:autoSpaceDN/>
        <w:ind w:left="0" w:firstLine="567"/>
        <w:contextualSpacing/>
        <w:jc w:val="both"/>
        <w:rPr>
          <w:bCs/>
          <w:sz w:val="28"/>
          <w:szCs w:val="28"/>
          <w:lang w:val="en-US"/>
        </w:rPr>
      </w:pPr>
      <w:r w:rsidRPr="005B2A2F">
        <w:rPr>
          <w:bCs/>
          <w:sz w:val="28"/>
          <w:szCs w:val="28"/>
          <w:lang w:val="en-US"/>
        </w:rPr>
        <w:t xml:space="preserve"> </w:t>
      </w:r>
      <w:r w:rsidR="005B2A2F" w:rsidRPr="005B2A2F">
        <w:rPr>
          <w:bCs/>
          <w:sz w:val="28"/>
          <w:szCs w:val="28"/>
          <w:lang w:val="en-US"/>
        </w:rPr>
        <w:t xml:space="preserve">Tay M.Z., </w:t>
      </w:r>
      <w:proofErr w:type="spellStart"/>
      <w:r w:rsidR="005B2A2F" w:rsidRPr="005B2A2F">
        <w:rPr>
          <w:bCs/>
          <w:sz w:val="28"/>
          <w:szCs w:val="28"/>
          <w:lang w:val="en-US"/>
        </w:rPr>
        <w:t>Poh</w:t>
      </w:r>
      <w:proofErr w:type="spellEnd"/>
      <w:r w:rsidR="005B2A2F" w:rsidRPr="005B2A2F">
        <w:rPr>
          <w:bCs/>
          <w:sz w:val="28"/>
          <w:szCs w:val="28"/>
          <w:lang w:val="en-US"/>
        </w:rPr>
        <w:t xml:space="preserve"> C.M., </w:t>
      </w:r>
      <w:proofErr w:type="spellStart"/>
      <w:r w:rsidR="005B2A2F" w:rsidRPr="005B2A2F">
        <w:rPr>
          <w:bCs/>
          <w:sz w:val="28"/>
          <w:szCs w:val="28"/>
          <w:lang w:val="en-US"/>
        </w:rPr>
        <w:t>Rénia</w:t>
      </w:r>
      <w:proofErr w:type="spellEnd"/>
      <w:r w:rsidR="005B2A2F" w:rsidRPr="005B2A2F">
        <w:rPr>
          <w:bCs/>
          <w:sz w:val="28"/>
          <w:szCs w:val="28"/>
          <w:lang w:val="en-US"/>
        </w:rPr>
        <w:t xml:space="preserve"> L. </w:t>
      </w:r>
      <w:r w:rsidR="005B2A2F" w:rsidRPr="005B2A2F">
        <w:rPr>
          <w:bCs/>
          <w:sz w:val="28"/>
          <w:szCs w:val="28"/>
        </w:rPr>
        <w:t>и</w:t>
      </w:r>
      <w:r w:rsidR="005B2A2F" w:rsidRPr="005B2A2F">
        <w:rPr>
          <w:bCs/>
          <w:sz w:val="28"/>
          <w:szCs w:val="28"/>
          <w:lang w:val="en-US"/>
        </w:rPr>
        <w:t xml:space="preserve"> </w:t>
      </w:r>
      <w:proofErr w:type="spellStart"/>
      <w:r w:rsidR="005B2A2F" w:rsidRPr="005B2A2F">
        <w:rPr>
          <w:bCs/>
          <w:sz w:val="28"/>
          <w:szCs w:val="28"/>
        </w:rPr>
        <w:t>др</w:t>
      </w:r>
      <w:proofErr w:type="spellEnd"/>
      <w:r w:rsidR="005B2A2F" w:rsidRPr="005B2A2F">
        <w:rPr>
          <w:bCs/>
          <w:sz w:val="28"/>
          <w:szCs w:val="28"/>
          <w:lang w:val="en-US"/>
        </w:rPr>
        <w:t>. The trinity of COVID-19: immunity, inflammation and intervention // Nature Reviews Immunology. – 2022. – Vol. 22. – P. 99–111. – DOI: 10.1038/s41577-021-00668-6.</w:t>
      </w:r>
    </w:p>
    <w:p w:rsidR="00AD6C50" w:rsidRDefault="000D4809" w:rsidP="00AD6C50">
      <w:pPr>
        <w:pStyle w:val="a4"/>
        <w:numPr>
          <w:ilvl w:val="0"/>
          <w:numId w:val="14"/>
        </w:numPr>
        <w:tabs>
          <w:tab w:val="left" w:pos="993"/>
        </w:tabs>
        <w:ind w:left="142" w:firstLine="425"/>
        <w:rPr>
          <w:bCs/>
          <w:sz w:val="28"/>
          <w:szCs w:val="28"/>
          <w:lang w:val="en-US"/>
        </w:rPr>
      </w:pPr>
      <w:r w:rsidRPr="00AD6C50">
        <w:rPr>
          <w:bCs/>
          <w:sz w:val="28"/>
          <w:szCs w:val="28"/>
          <w:lang w:val="en-US"/>
        </w:rPr>
        <w:t xml:space="preserve"> </w:t>
      </w:r>
      <w:proofErr w:type="spellStart"/>
      <w:r w:rsidR="001763C1" w:rsidRPr="00AD6C50">
        <w:rPr>
          <w:bCs/>
          <w:sz w:val="28"/>
          <w:szCs w:val="28"/>
          <w:lang w:val="en-US"/>
        </w:rPr>
        <w:t>Merad</w:t>
      </w:r>
      <w:proofErr w:type="spellEnd"/>
      <w:r w:rsidR="001763C1" w:rsidRPr="00AD6C50">
        <w:rPr>
          <w:bCs/>
          <w:sz w:val="28"/>
          <w:szCs w:val="28"/>
          <w:lang w:val="en-US"/>
        </w:rPr>
        <w:t xml:space="preserve"> M., </w:t>
      </w:r>
      <w:proofErr w:type="spellStart"/>
      <w:r w:rsidR="001763C1" w:rsidRPr="00AD6C50">
        <w:rPr>
          <w:bCs/>
          <w:sz w:val="28"/>
          <w:szCs w:val="28"/>
          <w:lang w:val="en-US"/>
        </w:rPr>
        <w:t>Blish</w:t>
      </w:r>
      <w:proofErr w:type="spellEnd"/>
      <w:r w:rsidR="001763C1" w:rsidRPr="00AD6C50">
        <w:rPr>
          <w:bCs/>
          <w:sz w:val="28"/>
          <w:szCs w:val="28"/>
          <w:lang w:val="en-US"/>
        </w:rPr>
        <w:t xml:space="preserve"> C.A., </w:t>
      </w:r>
      <w:proofErr w:type="spellStart"/>
      <w:r w:rsidR="001763C1" w:rsidRPr="00AD6C50">
        <w:rPr>
          <w:bCs/>
          <w:sz w:val="28"/>
          <w:szCs w:val="28"/>
          <w:lang w:val="en-US"/>
        </w:rPr>
        <w:t>Sallusto</w:t>
      </w:r>
      <w:proofErr w:type="spellEnd"/>
      <w:r w:rsidR="001763C1" w:rsidRPr="00AD6C50">
        <w:rPr>
          <w:bCs/>
          <w:sz w:val="28"/>
          <w:szCs w:val="28"/>
          <w:lang w:val="en-US"/>
        </w:rPr>
        <w:t xml:space="preserve"> F., Iwasaki A. The immunology and immunopathology of COVID-19 // Science. – 2022. – Vol. 375, No. 6585. – eabm8108. – DOI: 10.1126/</w:t>
      </w:r>
      <w:proofErr w:type="gramStart"/>
      <w:r w:rsidR="001763C1" w:rsidRPr="00AD6C50">
        <w:rPr>
          <w:bCs/>
          <w:sz w:val="28"/>
          <w:szCs w:val="28"/>
          <w:lang w:val="en-US"/>
        </w:rPr>
        <w:t>science.abm</w:t>
      </w:r>
      <w:proofErr w:type="gramEnd"/>
      <w:r w:rsidR="001763C1" w:rsidRPr="00AD6C50">
        <w:rPr>
          <w:bCs/>
          <w:sz w:val="28"/>
          <w:szCs w:val="28"/>
          <w:lang w:val="en-US"/>
        </w:rPr>
        <w:t>8108.</w:t>
      </w:r>
    </w:p>
    <w:p w:rsidR="00AD6C50" w:rsidRPr="00AD6C50" w:rsidRDefault="00AD6C50" w:rsidP="00AD6C50">
      <w:pPr>
        <w:pStyle w:val="a4"/>
        <w:numPr>
          <w:ilvl w:val="0"/>
          <w:numId w:val="14"/>
        </w:numPr>
        <w:tabs>
          <w:tab w:val="left" w:pos="993"/>
        </w:tabs>
        <w:ind w:left="142" w:firstLine="425"/>
        <w:rPr>
          <w:bCs/>
          <w:sz w:val="28"/>
          <w:szCs w:val="28"/>
          <w:lang w:val="en-US"/>
        </w:rPr>
      </w:pPr>
      <w:r w:rsidRPr="00AD6C50">
        <w:rPr>
          <w:lang w:val="en-US"/>
        </w:rPr>
        <w:t xml:space="preserve"> </w:t>
      </w:r>
      <w:r w:rsidRPr="00AD6C50">
        <w:rPr>
          <w:bCs/>
          <w:sz w:val="28"/>
          <w:szCs w:val="28"/>
          <w:lang w:val="en-US"/>
        </w:rPr>
        <w:t xml:space="preserve">Booth A., Reed A.B., </w:t>
      </w:r>
      <w:proofErr w:type="spellStart"/>
      <w:r w:rsidRPr="00AD6C50">
        <w:rPr>
          <w:bCs/>
          <w:sz w:val="28"/>
          <w:szCs w:val="28"/>
          <w:lang w:val="en-US"/>
        </w:rPr>
        <w:t>Ponzo</w:t>
      </w:r>
      <w:proofErr w:type="spellEnd"/>
      <w:r w:rsidRPr="00AD6C50">
        <w:rPr>
          <w:bCs/>
          <w:sz w:val="28"/>
          <w:szCs w:val="28"/>
          <w:lang w:val="en-US"/>
        </w:rPr>
        <w:t xml:space="preserve"> S. и </w:t>
      </w:r>
      <w:proofErr w:type="spellStart"/>
      <w:r w:rsidRPr="00AD6C50">
        <w:rPr>
          <w:bCs/>
          <w:sz w:val="28"/>
          <w:szCs w:val="28"/>
          <w:lang w:val="en-US"/>
        </w:rPr>
        <w:t>др</w:t>
      </w:r>
      <w:proofErr w:type="spellEnd"/>
      <w:r w:rsidRPr="00AD6C50">
        <w:rPr>
          <w:bCs/>
          <w:sz w:val="28"/>
          <w:szCs w:val="28"/>
          <w:lang w:val="en-US"/>
        </w:rPr>
        <w:t xml:space="preserve">. Population risk factors for severe disease and mortality in COVID-19: a global systematic review and meta-analysis </w:t>
      </w:r>
      <w:r w:rsidRPr="00AD6C50">
        <w:rPr>
          <w:bCs/>
          <w:sz w:val="28"/>
          <w:szCs w:val="28"/>
          <w:lang w:val="en-US"/>
        </w:rPr>
        <w:lastRenderedPageBreak/>
        <w:t xml:space="preserve">// </w:t>
      </w:r>
      <w:proofErr w:type="spellStart"/>
      <w:r w:rsidRPr="00AD6C50">
        <w:rPr>
          <w:bCs/>
          <w:sz w:val="28"/>
          <w:szCs w:val="28"/>
          <w:lang w:val="en-US"/>
        </w:rPr>
        <w:t>PLoS</w:t>
      </w:r>
      <w:proofErr w:type="spellEnd"/>
      <w:r w:rsidRPr="00AD6C50">
        <w:rPr>
          <w:bCs/>
          <w:sz w:val="28"/>
          <w:szCs w:val="28"/>
          <w:lang w:val="en-US"/>
        </w:rPr>
        <w:t xml:space="preserve"> One. – 2021. – Vol. 16, No. 3. – e0247461. – DOI: 10.1371/journal.pone.0247461.</w:t>
      </w:r>
    </w:p>
    <w:p w:rsidR="001763C1" w:rsidRDefault="000D4809" w:rsidP="005746AD">
      <w:pPr>
        <w:widowControl/>
        <w:numPr>
          <w:ilvl w:val="0"/>
          <w:numId w:val="14"/>
        </w:numPr>
        <w:tabs>
          <w:tab w:val="left" w:pos="993"/>
        </w:tabs>
        <w:autoSpaceDE/>
        <w:autoSpaceDN/>
        <w:ind w:left="0" w:firstLine="567"/>
        <w:contextualSpacing/>
        <w:jc w:val="both"/>
        <w:rPr>
          <w:bCs/>
          <w:sz w:val="28"/>
          <w:szCs w:val="28"/>
          <w:lang w:val="en-US"/>
        </w:rPr>
      </w:pPr>
      <w:r w:rsidRPr="001763C1">
        <w:rPr>
          <w:bCs/>
          <w:sz w:val="28"/>
          <w:szCs w:val="28"/>
          <w:lang w:val="en-US"/>
        </w:rPr>
        <w:t xml:space="preserve"> </w:t>
      </w:r>
      <w:r w:rsidR="001763C1" w:rsidRPr="001763C1">
        <w:rPr>
          <w:bCs/>
          <w:sz w:val="28"/>
          <w:szCs w:val="28"/>
          <w:lang w:val="en-US"/>
        </w:rPr>
        <w:t xml:space="preserve">Del Valle D.M., Kim-Schulze S., Huang H.H. </w:t>
      </w:r>
      <w:r w:rsidR="001763C1" w:rsidRPr="001763C1">
        <w:rPr>
          <w:bCs/>
          <w:sz w:val="28"/>
          <w:szCs w:val="28"/>
        </w:rPr>
        <w:t>и</w:t>
      </w:r>
      <w:r w:rsidR="001763C1" w:rsidRPr="001763C1">
        <w:rPr>
          <w:bCs/>
          <w:sz w:val="28"/>
          <w:szCs w:val="28"/>
          <w:lang w:val="en-US"/>
        </w:rPr>
        <w:t xml:space="preserve"> </w:t>
      </w:r>
      <w:proofErr w:type="spellStart"/>
      <w:r w:rsidR="001763C1" w:rsidRPr="001763C1">
        <w:rPr>
          <w:bCs/>
          <w:sz w:val="28"/>
          <w:szCs w:val="28"/>
        </w:rPr>
        <w:t>др</w:t>
      </w:r>
      <w:proofErr w:type="spellEnd"/>
      <w:r w:rsidR="001763C1" w:rsidRPr="001763C1">
        <w:rPr>
          <w:bCs/>
          <w:sz w:val="28"/>
          <w:szCs w:val="28"/>
          <w:lang w:val="en-US"/>
        </w:rPr>
        <w:t>. An inflammatory cytokine signature predicts COVID-19 severity and survival // Nature Medicine. – 2022. – Vol. 28. – P. 1636–1643. – DOI: 10.1038/s41591-020-1051-9.</w:t>
      </w:r>
    </w:p>
    <w:p w:rsidR="000D4809" w:rsidRPr="001763C1" w:rsidRDefault="000D4809" w:rsidP="005746AD">
      <w:pPr>
        <w:widowControl/>
        <w:numPr>
          <w:ilvl w:val="0"/>
          <w:numId w:val="14"/>
        </w:numPr>
        <w:tabs>
          <w:tab w:val="left" w:pos="993"/>
        </w:tabs>
        <w:autoSpaceDE/>
        <w:autoSpaceDN/>
        <w:ind w:left="0" w:firstLine="567"/>
        <w:contextualSpacing/>
        <w:jc w:val="both"/>
        <w:rPr>
          <w:bCs/>
          <w:sz w:val="28"/>
          <w:szCs w:val="28"/>
          <w:lang w:val="en-US"/>
        </w:rPr>
      </w:pPr>
      <w:r w:rsidRPr="001763C1">
        <w:rPr>
          <w:bCs/>
          <w:sz w:val="28"/>
          <w:szCs w:val="28"/>
          <w:lang w:val="en-US"/>
        </w:rPr>
        <w:t xml:space="preserve"> </w:t>
      </w:r>
      <w:proofErr w:type="spellStart"/>
      <w:r w:rsidR="001763C1" w:rsidRPr="001763C1">
        <w:rPr>
          <w:bCs/>
          <w:sz w:val="28"/>
          <w:szCs w:val="28"/>
          <w:lang w:val="en-US"/>
        </w:rPr>
        <w:t>Vabret</w:t>
      </w:r>
      <w:proofErr w:type="spellEnd"/>
      <w:r w:rsidR="001763C1" w:rsidRPr="001763C1">
        <w:rPr>
          <w:bCs/>
          <w:sz w:val="28"/>
          <w:szCs w:val="28"/>
          <w:lang w:val="en-US"/>
        </w:rPr>
        <w:t xml:space="preserve"> N., Britton G.J., Gruber C. </w:t>
      </w:r>
      <w:r w:rsidR="001763C1" w:rsidRPr="001763C1">
        <w:rPr>
          <w:bCs/>
          <w:sz w:val="28"/>
          <w:szCs w:val="28"/>
        </w:rPr>
        <w:t>и</w:t>
      </w:r>
      <w:r w:rsidR="001763C1" w:rsidRPr="001763C1">
        <w:rPr>
          <w:bCs/>
          <w:sz w:val="28"/>
          <w:szCs w:val="28"/>
          <w:lang w:val="en-US"/>
        </w:rPr>
        <w:t xml:space="preserve"> </w:t>
      </w:r>
      <w:proofErr w:type="spellStart"/>
      <w:r w:rsidR="001763C1" w:rsidRPr="001763C1">
        <w:rPr>
          <w:bCs/>
          <w:sz w:val="28"/>
          <w:szCs w:val="28"/>
        </w:rPr>
        <w:t>др</w:t>
      </w:r>
      <w:proofErr w:type="spellEnd"/>
      <w:r w:rsidR="001763C1" w:rsidRPr="001763C1">
        <w:rPr>
          <w:bCs/>
          <w:sz w:val="28"/>
          <w:szCs w:val="28"/>
          <w:lang w:val="en-US"/>
        </w:rPr>
        <w:t>. Immunology of COVID-19: current state of the science // Immunity. – 2022. – Vol. 55. – P. 910–941. – DOI: 10.1016/j.immuni.2022.05.003.</w:t>
      </w:r>
    </w:p>
    <w:p w:rsidR="003F0584" w:rsidRDefault="003F0584" w:rsidP="000D4809">
      <w:pPr>
        <w:widowControl/>
        <w:numPr>
          <w:ilvl w:val="0"/>
          <w:numId w:val="14"/>
        </w:numPr>
        <w:tabs>
          <w:tab w:val="left" w:pos="993"/>
        </w:tabs>
        <w:autoSpaceDE/>
        <w:autoSpaceDN/>
        <w:ind w:left="0" w:firstLine="567"/>
        <w:contextualSpacing/>
        <w:jc w:val="both"/>
        <w:rPr>
          <w:bCs/>
          <w:sz w:val="28"/>
          <w:szCs w:val="28"/>
          <w:lang w:val="en-US"/>
        </w:rPr>
      </w:pPr>
      <w:r w:rsidRPr="003F0584">
        <w:rPr>
          <w:bCs/>
          <w:sz w:val="28"/>
          <w:szCs w:val="28"/>
          <w:lang w:val="en-US"/>
        </w:rPr>
        <w:t xml:space="preserve">Docherty A.B., Harrison E.M., Green C.A. </w:t>
      </w:r>
      <w:r w:rsidRPr="003F0584">
        <w:rPr>
          <w:bCs/>
          <w:sz w:val="28"/>
          <w:szCs w:val="28"/>
        </w:rPr>
        <w:t>и</w:t>
      </w:r>
      <w:r w:rsidRPr="003F0584">
        <w:rPr>
          <w:bCs/>
          <w:sz w:val="28"/>
          <w:szCs w:val="28"/>
          <w:lang w:val="en-US"/>
        </w:rPr>
        <w:t xml:space="preserve"> </w:t>
      </w:r>
      <w:proofErr w:type="spellStart"/>
      <w:r w:rsidRPr="003F0584">
        <w:rPr>
          <w:bCs/>
          <w:sz w:val="28"/>
          <w:szCs w:val="28"/>
        </w:rPr>
        <w:t>др</w:t>
      </w:r>
      <w:proofErr w:type="spellEnd"/>
      <w:r w:rsidRPr="003F0584">
        <w:rPr>
          <w:bCs/>
          <w:sz w:val="28"/>
          <w:szCs w:val="28"/>
          <w:lang w:val="en-US"/>
        </w:rPr>
        <w:t xml:space="preserve">. Features of 20 133 UK patients in hospital with COVID-19 using the ISARIC WHO Clinical </w:t>
      </w:r>
      <w:proofErr w:type="spellStart"/>
      <w:r w:rsidRPr="003F0584">
        <w:rPr>
          <w:bCs/>
          <w:sz w:val="28"/>
          <w:szCs w:val="28"/>
          <w:lang w:val="en-US"/>
        </w:rPr>
        <w:t>Characterisation</w:t>
      </w:r>
      <w:proofErr w:type="spellEnd"/>
      <w:r w:rsidRPr="003F0584">
        <w:rPr>
          <w:bCs/>
          <w:sz w:val="28"/>
          <w:szCs w:val="28"/>
          <w:lang w:val="en-US"/>
        </w:rPr>
        <w:t xml:space="preserve"> Protocol: prospective observational cohort study // BMJ. – 2022. – Vol. 369. – m1985. – DOI: 10.1136/bmj.m1985.</w:t>
      </w:r>
    </w:p>
    <w:p w:rsidR="000D4809" w:rsidRPr="000D4809" w:rsidRDefault="002566D9" w:rsidP="000D4809">
      <w:pPr>
        <w:widowControl/>
        <w:numPr>
          <w:ilvl w:val="0"/>
          <w:numId w:val="14"/>
        </w:numPr>
        <w:tabs>
          <w:tab w:val="left" w:pos="993"/>
        </w:tabs>
        <w:autoSpaceDE/>
        <w:autoSpaceDN/>
        <w:ind w:left="0" w:firstLine="567"/>
        <w:contextualSpacing/>
        <w:jc w:val="both"/>
        <w:rPr>
          <w:bCs/>
          <w:sz w:val="28"/>
          <w:szCs w:val="28"/>
          <w:lang w:val="en-US"/>
        </w:rPr>
      </w:pPr>
      <w:r w:rsidRPr="002566D9">
        <w:rPr>
          <w:bCs/>
          <w:sz w:val="28"/>
          <w:szCs w:val="28"/>
          <w:lang w:val="en-US"/>
        </w:rPr>
        <w:t>Clark A., Jit M., Warren-Gash C. et al. Global, regional, and national estimates of the population at increased risk of severe COVID-19 due to underlying health conditions // The Lancet Global Health. – 2022. – Vol. 8. – P. e1003–e1017.</w:t>
      </w:r>
    </w:p>
    <w:p w:rsidR="000D4809" w:rsidRPr="000D4809" w:rsidRDefault="000D4809" w:rsidP="000D4809">
      <w:pPr>
        <w:widowControl/>
        <w:numPr>
          <w:ilvl w:val="0"/>
          <w:numId w:val="14"/>
        </w:numPr>
        <w:tabs>
          <w:tab w:val="left" w:pos="993"/>
        </w:tabs>
        <w:autoSpaceDE/>
        <w:autoSpaceDN/>
        <w:ind w:left="0" w:firstLine="567"/>
        <w:contextualSpacing/>
        <w:jc w:val="both"/>
        <w:rPr>
          <w:bCs/>
          <w:sz w:val="28"/>
          <w:szCs w:val="28"/>
          <w:lang w:val="en-US"/>
        </w:rPr>
      </w:pPr>
      <w:r w:rsidRPr="000D4809">
        <w:rPr>
          <w:bCs/>
          <w:sz w:val="28"/>
          <w:szCs w:val="28"/>
          <w:lang w:val="en-US"/>
        </w:rPr>
        <w:t xml:space="preserve"> </w:t>
      </w:r>
      <w:r w:rsidR="001763C1" w:rsidRPr="001763C1">
        <w:rPr>
          <w:bCs/>
          <w:sz w:val="28"/>
          <w:szCs w:val="28"/>
          <w:lang w:val="en-US"/>
        </w:rPr>
        <w:t xml:space="preserve">Ng J.H., Hirsch J.S., </w:t>
      </w:r>
      <w:proofErr w:type="spellStart"/>
      <w:r w:rsidR="001763C1" w:rsidRPr="001763C1">
        <w:rPr>
          <w:bCs/>
          <w:sz w:val="28"/>
          <w:szCs w:val="28"/>
          <w:lang w:val="en-US"/>
        </w:rPr>
        <w:t>Wanchoo</w:t>
      </w:r>
      <w:proofErr w:type="spellEnd"/>
      <w:r w:rsidR="001763C1" w:rsidRPr="001763C1">
        <w:rPr>
          <w:bCs/>
          <w:sz w:val="28"/>
          <w:szCs w:val="28"/>
          <w:lang w:val="en-US"/>
        </w:rPr>
        <w:t xml:space="preserve"> R. </w:t>
      </w:r>
      <w:r w:rsidR="001763C1" w:rsidRPr="001763C1">
        <w:rPr>
          <w:bCs/>
          <w:sz w:val="28"/>
          <w:szCs w:val="28"/>
        </w:rPr>
        <w:t>и</w:t>
      </w:r>
      <w:r w:rsidR="001763C1" w:rsidRPr="001763C1">
        <w:rPr>
          <w:bCs/>
          <w:sz w:val="28"/>
          <w:szCs w:val="28"/>
          <w:lang w:val="en-US"/>
        </w:rPr>
        <w:t xml:space="preserve"> </w:t>
      </w:r>
      <w:proofErr w:type="spellStart"/>
      <w:r w:rsidR="001763C1" w:rsidRPr="001763C1">
        <w:rPr>
          <w:bCs/>
          <w:sz w:val="28"/>
          <w:szCs w:val="28"/>
        </w:rPr>
        <w:t>др</w:t>
      </w:r>
      <w:proofErr w:type="spellEnd"/>
      <w:r w:rsidR="001763C1" w:rsidRPr="001763C1">
        <w:rPr>
          <w:bCs/>
          <w:sz w:val="28"/>
          <w:szCs w:val="28"/>
          <w:lang w:val="en-US"/>
        </w:rPr>
        <w:t>. Outcomes of patients with COVID-19 and chronic kidney disease: a meta-analysis // Kidney International Reports. – 2023. – Vol. 8. – P. 101–112. – DOI: 10.1016/j.ekir.2022.10.015</w:t>
      </w:r>
      <w:r w:rsidRPr="000D4809">
        <w:rPr>
          <w:bCs/>
          <w:sz w:val="28"/>
          <w:szCs w:val="28"/>
          <w:lang w:val="en-US"/>
        </w:rPr>
        <w:t>.</w:t>
      </w:r>
    </w:p>
    <w:p w:rsidR="000D4809" w:rsidRPr="000D4809" w:rsidRDefault="000D4809" w:rsidP="000D4809">
      <w:pPr>
        <w:widowControl/>
        <w:numPr>
          <w:ilvl w:val="0"/>
          <w:numId w:val="14"/>
        </w:numPr>
        <w:tabs>
          <w:tab w:val="left" w:pos="993"/>
        </w:tabs>
        <w:autoSpaceDE/>
        <w:autoSpaceDN/>
        <w:ind w:left="0" w:firstLine="567"/>
        <w:contextualSpacing/>
        <w:jc w:val="both"/>
        <w:rPr>
          <w:bCs/>
          <w:sz w:val="28"/>
          <w:szCs w:val="28"/>
          <w:lang w:val="en-US"/>
        </w:rPr>
      </w:pPr>
      <w:r w:rsidRPr="000D4809">
        <w:rPr>
          <w:bCs/>
          <w:sz w:val="28"/>
          <w:szCs w:val="28"/>
          <w:lang w:val="en-US"/>
        </w:rPr>
        <w:t xml:space="preserve"> </w:t>
      </w:r>
      <w:r w:rsidR="001763C1" w:rsidRPr="001763C1">
        <w:rPr>
          <w:bCs/>
          <w:sz w:val="28"/>
          <w:szCs w:val="28"/>
          <w:lang w:val="en-US"/>
        </w:rPr>
        <w:t xml:space="preserve">Lee L.Y.W., </w:t>
      </w:r>
      <w:proofErr w:type="spellStart"/>
      <w:r w:rsidR="001763C1" w:rsidRPr="001763C1">
        <w:rPr>
          <w:bCs/>
          <w:sz w:val="28"/>
          <w:szCs w:val="28"/>
          <w:lang w:val="en-US"/>
        </w:rPr>
        <w:t>Cazier</w:t>
      </w:r>
      <w:proofErr w:type="spellEnd"/>
      <w:r w:rsidR="001763C1" w:rsidRPr="001763C1">
        <w:rPr>
          <w:bCs/>
          <w:sz w:val="28"/>
          <w:szCs w:val="28"/>
          <w:lang w:val="en-US"/>
        </w:rPr>
        <w:t xml:space="preserve"> J.B., Starkey T. </w:t>
      </w:r>
      <w:r w:rsidR="001763C1" w:rsidRPr="001763C1">
        <w:rPr>
          <w:bCs/>
          <w:sz w:val="28"/>
          <w:szCs w:val="28"/>
        </w:rPr>
        <w:t>и</w:t>
      </w:r>
      <w:r w:rsidR="001763C1" w:rsidRPr="001763C1">
        <w:rPr>
          <w:bCs/>
          <w:sz w:val="28"/>
          <w:szCs w:val="28"/>
          <w:lang w:val="en-US"/>
        </w:rPr>
        <w:t xml:space="preserve"> </w:t>
      </w:r>
      <w:proofErr w:type="spellStart"/>
      <w:r w:rsidR="001763C1" w:rsidRPr="001763C1">
        <w:rPr>
          <w:bCs/>
          <w:sz w:val="28"/>
          <w:szCs w:val="28"/>
        </w:rPr>
        <w:t>др</w:t>
      </w:r>
      <w:proofErr w:type="spellEnd"/>
      <w:r w:rsidR="001763C1" w:rsidRPr="001763C1">
        <w:rPr>
          <w:bCs/>
          <w:sz w:val="28"/>
          <w:szCs w:val="28"/>
          <w:lang w:val="en-US"/>
        </w:rPr>
        <w:t>. COVID-19 mortality in patients with cancer on chemotherapy or other anticancer treatments: a prospective cohort study // The Lancet Oncology. – 2022. – Vol. 23. – P. 115–125. – DOI: 10.1016/S1470-2045(21)00689-9</w:t>
      </w:r>
      <w:r w:rsidRPr="000D4809">
        <w:rPr>
          <w:bCs/>
          <w:sz w:val="28"/>
          <w:szCs w:val="28"/>
          <w:lang w:val="en-US"/>
        </w:rPr>
        <w:t>.</w:t>
      </w:r>
    </w:p>
    <w:p w:rsidR="00E20649" w:rsidRPr="000D4809" w:rsidRDefault="00E20649" w:rsidP="000D4809">
      <w:pPr>
        <w:pStyle w:val="1"/>
        <w:ind w:left="718" w:right="138"/>
        <w:jc w:val="center"/>
        <w:rPr>
          <w:lang w:val="en-US"/>
        </w:rPr>
      </w:pPr>
    </w:p>
    <w:sectPr w:rsidR="00E20649" w:rsidRPr="000D4809" w:rsidSect="001763C1">
      <w:pgSz w:w="11900" w:h="16850"/>
      <w:pgMar w:top="1134" w:right="708" w:bottom="1134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494F2E"/>
    <w:multiLevelType w:val="hybridMultilevel"/>
    <w:tmpl w:val="C7EEAE88"/>
    <w:lvl w:ilvl="0" w:tplc="48AA251A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1" w15:restartNumberingAfterBreak="0">
    <w:nsid w:val="0F817959"/>
    <w:multiLevelType w:val="hybridMultilevel"/>
    <w:tmpl w:val="2F0899A2"/>
    <w:lvl w:ilvl="0" w:tplc="E75E7FA8">
      <w:start w:val="1"/>
      <w:numFmt w:val="decimal"/>
      <w:lvlText w:val="%1)"/>
      <w:lvlJc w:val="left"/>
      <w:pPr>
        <w:ind w:left="720" w:hanging="360"/>
      </w:pPr>
      <w:rPr>
        <w:rFonts w:hint="default"/>
        <w:spacing w:val="0"/>
        <w:kern w:val="0"/>
        <w14:stylisticSets>
          <w14:styleSet w14:id="1"/>
        </w14:stylisticSets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842ED"/>
    <w:multiLevelType w:val="hybridMultilevel"/>
    <w:tmpl w:val="64BC156E"/>
    <w:lvl w:ilvl="0" w:tplc="E75E7FA8">
      <w:start w:val="1"/>
      <w:numFmt w:val="decimal"/>
      <w:lvlText w:val="%1)"/>
      <w:lvlJc w:val="left"/>
      <w:pPr>
        <w:ind w:left="720" w:hanging="360"/>
      </w:pPr>
      <w:rPr>
        <w:rFonts w:hint="default"/>
        <w:spacing w:val="0"/>
        <w:kern w:val="0"/>
        <w14:stylisticSets>
          <w14:styleSet w14:id="1"/>
        </w14:stylisticSets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92906"/>
    <w:multiLevelType w:val="hybridMultilevel"/>
    <w:tmpl w:val="05BA3260"/>
    <w:lvl w:ilvl="0" w:tplc="D552450C">
      <w:start w:val="1"/>
      <w:numFmt w:val="decimal"/>
      <w:lvlText w:val="%1."/>
      <w:lvlJc w:val="left"/>
      <w:pPr>
        <w:ind w:left="7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3508F49E">
      <w:numFmt w:val="bullet"/>
      <w:lvlText w:val="•"/>
      <w:lvlJc w:val="left"/>
      <w:pPr>
        <w:ind w:left="1597" w:hanging="360"/>
      </w:pPr>
      <w:rPr>
        <w:rFonts w:hint="default"/>
        <w:lang w:val="ru-RU" w:eastAsia="en-US" w:bidi="ar-SA"/>
      </w:rPr>
    </w:lvl>
    <w:lvl w:ilvl="2" w:tplc="1416DEA4">
      <w:numFmt w:val="bullet"/>
      <w:lvlText w:val="•"/>
      <w:lvlJc w:val="left"/>
      <w:pPr>
        <w:ind w:left="2474" w:hanging="360"/>
      </w:pPr>
      <w:rPr>
        <w:rFonts w:hint="default"/>
        <w:lang w:val="ru-RU" w:eastAsia="en-US" w:bidi="ar-SA"/>
      </w:rPr>
    </w:lvl>
    <w:lvl w:ilvl="3" w:tplc="BE52FA38">
      <w:numFmt w:val="bullet"/>
      <w:lvlText w:val="•"/>
      <w:lvlJc w:val="left"/>
      <w:pPr>
        <w:ind w:left="3351" w:hanging="360"/>
      </w:pPr>
      <w:rPr>
        <w:rFonts w:hint="default"/>
        <w:lang w:val="ru-RU" w:eastAsia="en-US" w:bidi="ar-SA"/>
      </w:rPr>
    </w:lvl>
    <w:lvl w:ilvl="4" w:tplc="DFAC6EDC">
      <w:numFmt w:val="bullet"/>
      <w:lvlText w:val="•"/>
      <w:lvlJc w:val="left"/>
      <w:pPr>
        <w:ind w:left="4228" w:hanging="360"/>
      </w:pPr>
      <w:rPr>
        <w:rFonts w:hint="default"/>
        <w:lang w:val="ru-RU" w:eastAsia="en-US" w:bidi="ar-SA"/>
      </w:rPr>
    </w:lvl>
    <w:lvl w:ilvl="5" w:tplc="4CB632CE">
      <w:numFmt w:val="bullet"/>
      <w:lvlText w:val="•"/>
      <w:lvlJc w:val="left"/>
      <w:pPr>
        <w:ind w:left="5105" w:hanging="360"/>
      </w:pPr>
      <w:rPr>
        <w:rFonts w:hint="default"/>
        <w:lang w:val="ru-RU" w:eastAsia="en-US" w:bidi="ar-SA"/>
      </w:rPr>
    </w:lvl>
    <w:lvl w:ilvl="6" w:tplc="67AE14EA">
      <w:numFmt w:val="bullet"/>
      <w:lvlText w:val="•"/>
      <w:lvlJc w:val="left"/>
      <w:pPr>
        <w:ind w:left="5982" w:hanging="360"/>
      </w:pPr>
      <w:rPr>
        <w:rFonts w:hint="default"/>
        <w:lang w:val="ru-RU" w:eastAsia="en-US" w:bidi="ar-SA"/>
      </w:rPr>
    </w:lvl>
    <w:lvl w:ilvl="7" w:tplc="BAFCFD16">
      <w:numFmt w:val="bullet"/>
      <w:lvlText w:val="•"/>
      <w:lvlJc w:val="left"/>
      <w:pPr>
        <w:ind w:left="6859" w:hanging="360"/>
      </w:pPr>
      <w:rPr>
        <w:rFonts w:hint="default"/>
        <w:lang w:val="ru-RU" w:eastAsia="en-US" w:bidi="ar-SA"/>
      </w:rPr>
    </w:lvl>
    <w:lvl w:ilvl="8" w:tplc="C436BDA2">
      <w:numFmt w:val="bullet"/>
      <w:lvlText w:val="•"/>
      <w:lvlJc w:val="left"/>
      <w:pPr>
        <w:ind w:left="7736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38B538D4"/>
    <w:multiLevelType w:val="hybridMultilevel"/>
    <w:tmpl w:val="2864F0BE"/>
    <w:lvl w:ilvl="0" w:tplc="290C30C2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1F4F6C"/>
    <w:multiLevelType w:val="hybridMultilevel"/>
    <w:tmpl w:val="751AE3E0"/>
    <w:lvl w:ilvl="0" w:tplc="C48CBC00">
      <w:start w:val="1"/>
      <w:numFmt w:val="decimal"/>
      <w:lvlText w:val="%1."/>
      <w:lvlJc w:val="left"/>
      <w:pPr>
        <w:ind w:left="2" w:hanging="3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344A412">
      <w:numFmt w:val="bullet"/>
      <w:lvlText w:val="•"/>
      <w:lvlJc w:val="left"/>
      <w:pPr>
        <w:ind w:left="949" w:hanging="310"/>
      </w:pPr>
      <w:rPr>
        <w:rFonts w:hint="default"/>
        <w:lang w:val="ru-RU" w:eastAsia="en-US" w:bidi="ar-SA"/>
      </w:rPr>
    </w:lvl>
    <w:lvl w:ilvl="2" w:tplc="C27A4624">
      <w:numFmt w:val="bullet"/>
      <w:lvlText w:val="•"/>
      <w:lvlJc w:val="left"/>
      <w:pPr>
        <w:ind w:left="1898" w:hanging="310"/>
      </w:pPr>
      <w:rPr>
        <w:rFonts w:hint="default"/>
        <w:lang w:val="ru-RU" w:eastAsia="en-US" w:bidi="ar-SA"/>
      </w:rPr>
    </w:lvl>
    <w:lvl w:ilvl="3" w:tplc="5B10D698">
      <w:numFmt w:val="bullet"/>
      <w:lvlText w:val="•"/>
      <w:lvlJc w:val="left"/>
      <w:pPr>
        <w:ind w:left="2847" w:hanging="310"/>
      </w:pPr>
      <w:rPr>
        <w:rFonts w:hint="default"/>
        <w:lang w:val="ru-RU" w:eastAsia="en-US" w:bidi="ar-SA"/>
      </w:rPr>
    </w:lvl>
    <w:lvl w:ilvl="4" w:tplc="0F94F7AA">
      <w:numFmt w:val="bullet"/>
      <w:lvlText w:val="•"/>
      <w:lvlJc w:val="left"/>
      <w:pPr>
        <w:ind w:left="3796" w:hanging="310"/>
      </w:pPr>
      <w:rPr>
        <w:rFonts w:hint="default"/>
        <w:lang w:val="ru-RU" w:eastAsia="en-US" w:bidi="ar-SA"/>
      </w:rPr>
    </w:lvl>
    <w:lvl w:ilvl="5" w:tplc="D5884410">
      <w:numFmt w:val="bullet"/>
      <w:lvlText w:val="•"/>
      <w:lvlJc w:val="left"/>
      <w:pPr>
        <w:ind w:left="4745" w:hanging="310"/>
      </w:pPr>
      <w:rPr>
        <w:rFonts w:hint="default"/>
        <w:lang w:val="ru-RU" w:eastAsia="en-US" w:bidi="ar-SA"/>
      </w:rPr>
    </w:lvl>
    <w:lvl w:ilvl="6" w:tplc="66D45598">
      <w:numFmt w:val="bullet"/>
      <w:lvlText w:val="•"/>
      <w:lvlJc w:val="left"/>
      <w:pPr>
        <w:ind w:left="5694" w:hanging="310"/>
      </w:pPr>
      <w:rPr>
        <w:rFonts w:hint="default"/>
        <w:lang w:val="ru-RU" w:eastAsia="en-US" w:bidi="ar-SA"/>
      </w:rPr>
    </w:lvl>
    <w:lvl w:ilvl="7" w:tplc="2EBA24BA">
      <w:numFmt w:val="bullet"/>
      <w:lvlText w:val="•"/>
      <w:lvlJc w:val="left"/>
      <w:pPr>
        <w:ind w:left="6643" w:hanging="310"/>
      </w:pPr>
      <w:rPr>
        <w:rFonts w:hint="default"/>
        <w:lang w:val="ru-RU" w:eastAsia="en-US" w:bidi="ar-SA"/>
      </w:rPr>
    </w:lvl>
    <w:lvl w:ilvl="8" w:tplc="6FEAFCD6">
      <w:numFmt w:val="bullet"/>
      <w:lvlText w:val="•"/>
      <w:lvlJc w:val="left"/>
      <w:pPr>
        <w:ind w:left="7592" w:hanging="310"/>
      </w:pPr>
      <w:rPr>
        <w:rFonts w:hint="default"/>
        <w:lang w:val="ru-RU" w:eastAsia="en-US" w:bidi="ar-SA"/>
      </w:rPr>
    </w:lvl>
  </w:abstractNum>
  <w:abstractNum w:abstractNumId="6" w15:restartNumberingAfterBreak="0">
    <w:nsid w:val="4FD6180C"/>
    <w:multiLevelType w:val="hybridMultilevel"/>
    <w:tmpl w:val="87B0E73C"/>
    <w:lvl w:ilvl="0" w:tplc="82A8EDBE">
      <w:start w:val="1"/>
      <w:numFmt w:val="decimal"/>
      <w:lvlText w:val="%1."/>
      <w:lvlJc w:val="left"/>
      <w:pPr>
        <w:ind w:left="2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0421D84">
      <w:numFmt w:val="bullet"/>
      <w:lvlText w:val="•"/>
      <w:lvlJc w:val="left"/>
      <w:pPr>
        <w:ind w:left="949" w:hanging="708"/>
      </w:pPr>
      <w:rPr>
        <w:rFonts w:hint="default"/>
        <w:lang w:val="ru-RU" w:eastAsia="en-US" w:bidi="ar-SA"/>
      </w:rPr>
    </w:lvl>
    <w:lvl w:ilvl="2" w:tplc="AAD89820">
      <w:numFmt w:val="bullet"/>
      <w:lvlText w:val="•"/>
      <w:lvlJc w:val="left"/>
      <w:pPr>
        <w:ind w:left="1898" w:hanging="708"/>
      </w:pPr>
      <w:rPr>
        <w:rFonts w:hint="default"/>
        <w:lang w:val="ru-RU" w:eastAsia="en-US" w:bidi="ar-SA"/>
      </w:rPr>
    </w:lvl>
    <w:lvl w:ilvl="3" w:tplc="84CCFD36">
      <w:numFmt w:val="bullet"/>
      <w:lvlText w:val="•"/>
      <w:lvlJc w:val="left"/>
      <w:pPr>
        <w:ind w:left="2847" w:hanging="708"/>
      </w:pPr>
      <w:rPr>
        <w:rFonts w:hint="default"/>
        <w:lang w:val="ru-RU" w:eastAsia="en-US" w:bidi="ar-SA"/>
      </w:rPr>
    </w:lvl>
    <w:lvl w:ilvl="4" w:tplc="A4EC8F9A">
      <w:numFmt w:val="bullet"/>
      <w:lvlText w:val="•"/>
      <w:lvlJc w:val="left"/>
      <w:pPr>
        <w:ind w:left="3796" w:hanging="708"/>
      </w:pPr>
      <w:rPr>
        <w:rFonts w:hint="default"/>
        <w:lang w:val="ru-RU" w:eastAsia="en-US" w:bidi="ar-SA"/>
      </w:rPr>
    </w:lvl>
    <w:lvl w:ilvl="5" w:tplc="B134B406">
      <w:numFmt w:val="bullet"/>
      <w:lvlText w:val="•"/>
      <w:lvlJc w:val="left"/>
      <w:pPr>
        <w:ind w:left="4745" w:hanging="708"/>
      </w:pPr>
      <w:rPr>
        <w:rFonts w:hint="default"/>
        <w:lang w:val="ru-RU" w:eastAsia="en-US" w:bidi="ar-SA"/>
      </w:rPr>
    </w:lvl>
    <w:lvl w:ilvl="6" w:tplc="C10A3EB0">
      <w:numFmt w:val="bullet"/>
      <w:lvlText w:val="•"/>
      <w:lvlJc w:val="left"/>
      <w:pPr>
        <w:ind w:left="5694" w:hanging="708"/>
      </w:pPr>
      <w:rPr>
        <w:rFonts w:hint="default"/>
        <w:lang w:val="ru-RU" w:eastAsia="en-US" w:bidi="ar-SA"/>
      </w:rPr>
    </w:lvl>
    <w:lvl w:ilvl="7" w:tplc="5832F59E">
      <w:numFmt w:val="bullet"/>
      <w:lvlText w:val="•"/>
      <w:lvlJc w:val="left"/>
      <w:pPr>
        <w:ind w:left="6643" w:hanging="708"/>
      </w:pPr>
      <w:rPr>
        <w:rFonts w:hint="default"/>
        <w:lang w:val="ru-RU" w:eastAsia="en-US" w:bidi="ar-SA"/>
      </w:rPr>
    </w:lvl>
    <w:lvl w:ilvl="8" w:tplc="7814275A">
      <w:numFmt w:val="bullet"/>
      <w:lvlText w:val="•"/>
      <w:lvlJc w:val="left"/>
      <w:pPr>
        <w:ind w:left="7592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6F8F10B7"/>
    <w:multiLevelType w:val="multilevel"/>
    <w:tmpl w:val="CAD4C0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3"/>
      <w:numFmt w:val="decimal"/>
      <w:isLgl/>
      <w:lvlText w:val="%1.%2"/>
      <w:lvlJc w:val="left"/>
      <w:pPr>
        <w:ind w:left="1087" w:hanging="62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4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1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44" w:hanging="2160"/>
      </w:pPr>
      <w:rPr>
        <w:rFonts w:hint="default"/>
      </w:rPr>
    </w:lvl>
  </w:abstractNum>
  <w:abstractNum w:abstractNumId="8" w15:restartNumberingAfterBreak="0">
    <w:nsid w:val="70DC6C65"/>
    <w:multiLevelType w:val="multilevel"/>
    <w:tmpl w:val="19E60E5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pacing w:val="0"/>
        <w:kern w:val="0"/>
        <w:sz w:val="28"/>
        <w:szCs w:val="28"/>
        <w14:stylisticSets>
          <w14:styleSet w14:id="1"/>
        </w14:stylisticSets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1D53BC8"/>
    <w:multiLevelType w:val="multilevel"/>
    <w:tmpl w:val="6428B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DDB1EFE"/>
    <w:multiLevelType w:val="hybridMultilevel"/>
    <w:tmpl w:val="6A687A14"/>
    <w:lvl w:ilvl="0" w:tplc="EF0E6B0C">
      <w:start w:val="1"/>
      <w:numFmt w:val="decimal"/>
      <w:lvlText w:val="%1."/>
      <w:lvlJc w:val="left"/>
      <w:pPr>
        <w:ind w:left="2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4642DB8A">
      <w:numFmt w:val="bullet"/>
      <w:lvlText w:val="•"/>
      <w:lvlJc w:val="left"/>
      <w:pPr>
        <w:ind w:left="949" w:hanging="213"/>
      </w:pPr>
      <w:rPr>
        <w:rFonts w:hint="default"/>
        <w:lang w:val="ru-RU" w:eastAsia="en-US" w:bidi="ar-SA"/>
      </w:rPr>
    </w:lvl>
    <w:lvl w:ilvl="2" w:tplc="E1FC2500">
      <w:numFmt w:val="bullet"/>
      <w:lvlText w:val="•"/>
      <w:lvlJc w:val="left"/>
      <w:pPr>
        <w:ind w:left="1898" w:hanging="213"/>
      </w:pPr>
      <w:rPr>
        <w:rFonts w:hint="default"/>
        <w:lang w:val="ru-RU" w:eastAsia="en-US" w:bidi="ar-SA"/>
      </w:rPr>
    </w:lvl>
    <w:lvl w:ilvl="3" w:tplc="DA940A92">
      <w:numFmt w:val="bullet"/>
      <w:lvlText w:val="•"/>
      <w:lvlJc w:val="left"/>
      <w:pPr>
        <w:ind w:left="2847" w:hanging="213"/>
      </w:pPr>
      <w:rPr>
        <w:rFonts w:hint="default"/>
        <w:lang w:val="ru-RU" w:eastAsia="en-US" w:bidi="ar-SA"/>
      </w:rPr>
    </w:lvl>
    <w:lvl w:ilvl="4" w:tplc="EB56E6DA">
      <w:numFmt w:val="bullet"/>
      <w:lvlText w:val="•"/>
      <w:lvlJc w:val="left"/>
      <w:pPr>
        <w:ind w:left="3796" w:hanging="213"/>
      </w:pPr>
      <w:rPr>
        <w:rFonts w:hint="default"/>
        <w:lang w:val="ru-RU" w:eastAsia="en-US" w:bidi="ar-SA"/>
      </w:rPr>
    </w:lvl>
    <w:lvl w:ilvl="5" w:tplc="EA9279EA">
      <w:numFmt w:val="bullet"/>
      <w:lvlText w:val="•"/>
      <w:lvlJc w:val="left"/>
      <w:pPr>
        <w:ind w:left="4745" w:hanging="213"/>
      </w:pPr>
      <w:rPr>
        <w:rFonts w:hint="default"/>
        <w:lang w:val="ru-RU" w:eastAsia="en-US" w:bidi="ar-SA"/>
      </w:rPr>
    </w:lvl>
    <w:lvl w:ilvl="6" w:tplc="ABCE8FB8">
      <w:numFmt w:val="bullet"/>
      <w:lvlText w:val="•"/>
      <w:lvlJc w:val="left"/>
      <w:pPr>
        <w:ind w:left="5694" w:hanging="213"/>
      </w:pPr>
      <w:rPr>
        <w:rFonts w:hint="default"/>
        <w:lang w:val="ru-RU" w:eastAsia="en-US" w:bidi="ar-SA"/>
      </w:rPr>
    </w:lvl>
    <w:lvl w:ilvl="7" w:tplc="2E7CDAC4">
      <w:numFmt w:val="bullet"/>
      <w:lvlText w:val="•"/>
      <w:lvlJc w:val="left"/>
      <w:pPr>
        <w:ind w:left="6643" w:hanging="213"/>
      </w:pPr>
      <w:rPr>
        <w:rFonts w:hint="default"/>
        <w:lang w:val="ru-RU" w:eastAsia="en-US" w:bidi="ar-SA"/>
      </w:rPr>
    </w:lvl>
    <w:lvl w:ilvl="8" w:tplc="16483D14">
      <w:numFmt w:val="bullet"/>
      <w:lvlText w:val="•"/>
      <w:lvlJc w:val="left"/>
      <w:pPr>
        <w:ind w:left="7592" w:hanging="213"/>
      </w:pPr>
      <w:rPr>
        <w:rFonts w:hint="default"/>
        <w:lang w:val="ru-RU" w:eastAsia="en-US" w:bidi="ar-SA"/>
      </w:rPr>
    </w:lvl>
  </w:abstractNum>
  <w:abstractNum w:abstractNumId="11" w15:restartNumberingAfterBreak="0">
    <w:nsid w:val="7EB37C7D"/>
    <w:multiLevelType w:val="hybridMultilevel"/>
    <w:tmpl w:val="2AE02010"/>
    <w:lvl w:ilvl="0" w:tplc="918ABE0C">
      <w:start w:val="1"/>
      <w:numFmt w:val="decimal"/>
      <w:lvlText w:val="%1."/>
      <w:lvlJc w:val="left"/>
      <w:pPr>
        <w:ind w:left="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AA02B84">
      <w:numFmt w:val="bullet"/>
      <w:lvlText w:val="•"/>
      <w:lvlJc w:val="left"/>
      <w:pPr>
        <w:ind w:left="949" w:hanging="425"/>
      </w:pPr>
      <w:rPr>
        <w:rFonts w:hint="default"/>
        <w:lang w:val="ru-RU" w:eastAsia="en-US" w:bidi="ar-SA"/>
      </w:rPr>
    </w:lvl>
    <w:lvl w:ilvl="2" w:tplc="DA2660FA">
      <w:numFmt w:val="bullet"/>
      <w:lvlText w:val="•"/>
      <w:lvlJc w:val="left"/>
      <w:pPr>
        <w:ind w:left="1898" w:hanging="425"/>
      </w:pPr>
      <w:rPr>
        <w:rFonts w:hint="default"/>
        <w:lang w:val="ru-RU" w:eastAsia="en-US" w:bidi="ar-SA"/>
      </w:rPr>
    </w:lvl>
    <w:lvl w:ilvl="3" w:tplc="BB622FE2">
      <w:numFmt w:val="bullet"/>
      <w:lvlText w:val="•"/>
      <w:lvlJc w:val="left"/>
      <w:pPr>
        <w:ind w:left="2847" w:hanging="425"/>
      </w:pPr>
      <w:rPr>
        <w:rFonts w:hint="default"/>
        <w:lang w:val="ru-RU" w:eastAsia="en-US" w:bidi="ar-SA"/>
      </w:rPr>
    </w:lvl>
    <w:lvl w:ilvl="4" w:tplc="52BEAC4C">
      <w:numFmt w:val="bullet"/>
      <w:lvlText w:val="•"/>
      <w:lvlJc w:val="left"/>
      <w:pPr>
        <w:ind w:left="3796" w:hanging="425"/>
      </w:pPr>
      <w:rPr>
        <w:rFonts w:hint="default"/>
        <w:lang w:val="ru-RU" w:eastAsia="en-US" w:bidi="ar-SA"/>
      </w:rPr>
    </w:lvl>
    <w:lvl w:ilvl="5" w:tplc="4E768338">
      <w:numFmt w:val="bullet"/>
      <w:lvlText w:val="•"/>
      <w:lvlJc w:val="left"/>
      <w:pPr>
        <w:ind w:left="4745" w:hanging="425"/>
      </w:pPr>
      <w:rPr>
        <w:rFonts w:hint="default"/>
        <w:lang w:val="ru-RU" w:eastAsia="en-US" w:bidi="ar-SA"/>
      </w:rPr>
    </w:lvl>
    <w:lvl w:ilvl="6" w:tplc="999689E6">
      <w:numFmt w:val="bullet"/>
      <w:lvlText w:val="•"/>
      <w:lvlJc w:val="left"/>
      <w:pPr>
        <w:ind w:left="5694" w:hanging="425"/>
      </w:pPr>
      <w:rPr>
        <w:rFonts w:hint="default"/>
        <w:lang w:val="ru-RU" w:eastAsia="en-US" w:bidi="ar-SA"/>
      </w:rPr>
    </w:lvl>
    <w:lvl w:ilvl="7" w:tplc="D70C8536">
      <w:numFmt w:val="bullet"/>
      <w:lvlText w:val="•"/>
      <w:lvlJc w:val="left"/>
      <w:pPr>
        <w:ind w:left="6643" w:hanging="425"/>
      </w:pPr>
      <w:rPr>
        <w:rFonts w:hint="default"/>
        <w:lang w:val="ru-RU" w:eastAsia="en-US" w:bidi="ar-SA"/>
      </w:rPr>
    </w:lvl>
    <w:lvl w:ilvl="8" w:tplc="D76A9322">
      <w:numFmt w:val="bullet"/>
      <w:lvlText w:val="•"/>
      <w:lvlJc w:val="left"/>
      <w:pPr>
        <w:ind w:left="7592" w:hanging="425"/>
      </w:pPr>
      <w:rPr>
        <w:rFonts w:hint="default"/>
        <w:lang w:val="ru-RU" w:eastAsia="en-US" w:bidi="ar-SA"/>
      </w:rPr>
    </w:lvl>
  </w:abstractNum>
  <w:abstractNum w:abstractNumId="12" w15:restartNumberingAfterBreak="0">
    <w:nsid w:val="7F007758"/>
    <w:multiLevelType w:val="multilevel"/>
    <w:tmpl w:val="5824F54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323" w:hanging="7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30" w:hanging="7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3" w15:restartNumberingAfterBreak="0">
    <w:nsid w:val="7FF814F3"/>
    <w:multiLevelType w:val="multilevel"/>
    <w:tmpl w:val="C736F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1"/>
  </w:num>
  <w:num w:numId="5">
    <w:abstractNumId w:val="10"/>
  </w:num>
  <w:num w:numId="6">
    <w:abstractNumId w:val="1"/>
  </w:num>
  <w:num w:numId="7">
    <w:abstractNumId w:val="8"/>
  </w:num>
  <w:num w:numId="8">
    <w:abstractNumId w:val="2"/>
  </w:num>
  <w:num w:numId="9">
    <w:abstractNumId w:val="12"/>
  </w:num>
  <w:num w:numId="10">
    <w:abstractNumId w:val="7"/>
  </w:num>
  <w:num w:numId="11">
    <w:abstractNumId w:val="4"/>
  </w:num>
  <w:num w:numId="12">
    <w:abstractNumId w:val="13"/>
  </w:num>
  <w:num w:numId="13">
    <w:abstractNumId w:val="9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649"/>
    <w:rsid w:val="00057393"/>
    <w:rsid w:val="000B41FC"/>
    <w:rsid w:val="000D4809"/>
    <w:rsid w:val="001763C1"/>
    <w:rsid w:val="00183DDC"/>
    <w:rsid w:val="002566D9"/>
    <w:rsid w:val="00257A9A"/>
    <w:rsid w:val="00355E83"/>
    <w:rsid w:val="003858D5"/>
    <w:rsid w:val="00391E65"/>
    <w:rsid w:val="003A07AD"/>
    <w:rsid w:val="003F0584"/>
    <w:rsid w:val="00487FAF"/>
    <w:rsid w:val="00497127"/>
    <w:rsid w:val="00504787"/>
    <w:rsid w:val="005B2A2F"/>
    <w:rsid w:val="0065322A"/>
    <w:rsid w:val="0068186B"/>
    <w:rsid w:val="00713DF6"/>
    <w:rsid w:val="0074583B"/>
    <w:rsid w:val="007708BE"/>
    <w:rsid w:val="00A07018"/>
    <w:rsid w:val="00A15DE3"/>
    <w:rsid w:val="00A42C31"/>
    <w:rsid w:val="00A47D23"/>
    <w:rsid w:val="00A6780C"/>
    <w:rsid w:val="00AD6C50"/>
    <w:rsid w:val="00B04E24"/>
    <w:rsid w:val="00B31359"/>
    <w:rsid w:val="00CD34C8"/>
    <w:rsid w:val="00DA6AC7"/>
    <w:rsid w:val="00E20649"/>
    <w:rsid w:val="00E3354B"/>
    <w:rsid w:val="00F44051"/>
    <w:rsid w:val="00F643B3"/>
    <w:rsid w:val="00F6720A"/>
    <w:rsid w:val="00FD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439A39"/>
  <w15:docId w15:val="{E15F9118-8B12-4FD9-BF17-D312BCA66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71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721" w:right="134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unhideWhenUsed/>
    <w:rsid w:val="000D4809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3858D5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3858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24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vid19.who.in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4993</Words>
  <Characters>28466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Тургунов Ермек</dc:creator>
  <cp:lastModifiedBy>User</cp:lastModifiedBy>
  <cp:revision>29</cp:revision>
  <dcterms:created xsi:type="dcterms:W3CDTF">2026-02-22T05:07:00Z</dcterms:created>
  <dcterms:modified xsi:type="dcterms:W3CDTF">2026-02-25T06:03:00Z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2026-02-22T00:00:00Z</vt:filetime>
  </property>
  <property fmtid="{D5CDD505-2E9C-101B-9397-08002B2CF9AE}" pid="5" name="Producer">
    <vt:lpwstr>www.ilovepdf.com</vt:lpwstr>
  </property>
</Properties>
</file>